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A21" w:rsidRPr="00302FF3" w:rsidRDefault="00847A21" w:rsidP="00847A21">
      <w:pPr>
        <w:pStyle w:val="Heading1"/>
        <w:ind w:right="545"/>
        <w:rPr>
          <w:color w:val="2E74B5"/>
        </w:rPr>
      </w:pPr>
      <w:r>
        <w:rPr>
          <w:rStyle w:val="Heading1"/>
          <w:color w:val="2E74B5"/>
        </w:rPr>
        <w:t>Point 2 de l</w:t>
      </w:r>
      <w:r>
        <w:rPr>
          <w:rStyle w:val="Heading1"/>
          <w:rFonts w:cs="Century Gothic"/>
          <w:color w:val="2E74B5"/>
          <w:cs/>
        </w:rPr>
        <w:t>’</w:t>
      </w:r>
      <w:r>
        <w:rPr>
          <w:rStyle w:val="Heading1"/>
          <w:color w:val="2E74B5"/>
        </w:rPr>
        <w:t>ordre du jour</w:t>
      </w:r>
      <w:r w:rsidR="00A80417">
        <w:rPr>
          <w:rStyle w:val="Heading1"/>
          <w:color w:val="2E74B5"/>
        </w:rPr>
        <w:t> :</w:t>
      </w:r>
      <w:r>
        <w:rPr>
          <w:rStyle w:val="Heading1"/>
          <w:color w:val="2E74B5"/>
        </w:rPr>
        <w:t xml:space="preserve"> </w:t>
      </w:r>
      <w:bookmarkStart w:id="0" w:name="_GoBack"/>
      <w:bookmarkEnd w:id="0"/>
      <w:r w:rsidR="00A80417">
        <w:rPr>
          <w:rStyle w:val="Heading1"/>
          <w:color w:val="2E74B5"/>
        </w:rPr>
        <w:t>r</w:t>
      </w:r>
      <w:r>
        <w:rPr>
          <w:rStyle w:val="Heading1"/>
          <w:color w:val="2E74B5"/>
        </w:rPr>
        <w:t>apport préliminaire de l</w:t>
      </w:r>
      <w:r>
        <w:rPr>
          <w:rStyle w:val="Heading1"/>
          <w:rFonts w:cs="Century Gothic"/>
          <w:color w:val="2E74B5"/>
          <w:cs/>
        </w:rPr>
        <w:t>’</w:t>
      </w:r>
      <w:r>
        <w:rPr>
          <w:rStyle w:val="Heading1"/>
          <w:color w:val="2E74B5"/>
        </w:rPr>
        <w:t>atelier de renforcement des capacités du GAC</w:t>
      </w:r>
    </w:p>
    <w:p w:rsidR="00847A21" w:rsidRPr="00302FF3" w:rsidRDefault="00847A21" w:rsidP="00847A21">
      <w:pPr>
        <w:pStyle w:val="Heading2"/>
        <w:rPr>
          <w:b w:val="0"/>
          <w:color w:val="000000"/>
          <w:sz w:val="20"/>
          <w:szCs w:val="20"/>
        </w:rPr>
      </w:pPr>
      <w:r>
        <w:rPr>
          <w:rStyle w:val="Heading2"/>
          <w:sz w:val="20"/>
        </w:rPr>
        <w:t xml:space="preserve">Note : </w:t>
      </w:r>
      <w:r>
        <w:rPr>
          <w:rStyle w:val="Heading2"/>
          <w:b w:val="0"/>
          <w:color w:val="000000"/>
          <w:sz w:val="20"/>
        </w:rPr>
        <w:t xml:space="preserve">le présent document a été </w:t>
      </w:r>
      <w:r w:rsidR="00A80417">
        <w:rPr>
          <w:rStyle w:val="Heading2"/>
          <w:b w:val="0"/>
          <w:color w:val="000000"/>
          <w:sz w:val="20"/>
        </w:rPr>
        <w:t>préparé par</w:t>
      </w:r>
      <w:r>
        <w:rPr>
          <w:rStyle w:val="Heading2"/>
          <w:b w:val="0"/>
          <w:color w:val="000000"/>
          <w:sz w:val="20"/>
        </w:rPr>
        <w:t xml:space="preserve"> le personnel de soutien de l</w:t>
      </w:r>
      <w:r>
        <w:rPr>
          <w:rStyle w:val="Heading2"/>
          <w:rFonts w:cs="Century Gothic"/>
          <w:b w:val="0"/>
          <w:color w:val="000000"/>
          <w:sz w:val="20"/>
          <w:cs/>
        </w:rPr>
        <w:t>’</w:t>
      </w:r>
      <w:r>
        <w:rPr>
          <w:rStyle w:val="Heading2"/>
          <w:b w:val="0"/>
          <w:color w:val="000000"/>
          <w:sz w:val="20"/>
        </w:rPr>
        <w:t>ICANN</w:t>
      </w:r>
    </w:p>
    <w:p w:rsidR="00847A21" w:rsidRPr="00A326CA" w:rsidRDefault="00847A21" w:rsidP="00847A21">
      <w:pPr>
        <w:pStyle w:val="BodyText"/>
      </w:pPr>
    </w:p>
    <w:p w:rsidR="00847A21" w:rsidRPr="00EA4C85" w:rsidRDefault="00847A21" w:rsidP="00847A21">
      <w:pPr>
        <w:pStyle w:val="Heading2"/>
      </w:pPr>
      <w:r>
        <w:rPr>
          <w:rStyle w:val="Heading2"/>
        </w:rPr>
        <w:t>Contexte :</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Pr>
        <w:tab/>
      </w:r>
      <w:r>
        <w:br/>
      </w:r>
      <w:r>
        <w:rPr>
          <w:rStyle w:val="NormalWeb"/>
          <w:rFonts w:ascii="Century Gothic" w:hAnsi="Century Gothic"/>
          <w:color w:val="000000"/>
          <w:sz w:val="20"/>
        </w:rPr>
        <w:t>L</w:t>
      </w:r>
      <w:r>
        <w:rPr>
          <w:rStyle w:val="NormalWeb"/>
          <w:rFonts w:ascii="Century Gothic" w:hAnsi="Century Gothic" w:cs="Century Gothic"/>
          <w:color w:val="000000"/>
          <w:sz w:val="20"/>
          <w:cs/>
        </w:rPr>
        <w:t>’</w:t>
      </w:r>
      <w:r>
        <w:rPr>
          <w:rStyle w:val="NormalWeb"/>
          <w:rFonts w:ascii="Century Gothic" w:hAnsi="Century Gothic"/>
          <w:color w:val="000000"/>
          <w:sz w:val="20"/>
        </w:rPr>
        <w:t>initiative d</w:t>
      </w:r>
      <w:r>
        <w:rPr>
          <w:rStyle w:val="NormalWeb"/>
          <w:rFonts w:ascii="Century Gothic" w:hAnsi="Century Gothic" w:cs="Century Gothic"/>
          <w:color w:val="000000"/>
          <w:sz w:val="20"/>
          <w:cs/>
        </w:rPr>
        <w:t>’</w:t>
      </w:r>
      <w:r>
        <w:rPr>
          <w:rStyle w:val="NormalWeb"/>
          <w:rFonts w:ascii="Century Gothic" w:hAnsi="Century Gothic"/>
          <w:color w:val="000000"/>
          <w:sz w:val="20"/>
        </w:rPr>
        <w:t>organiser un atelier de renforcement des capacités du GAC a été lancée dans le cadre de la réunion ICANN 56 à Helsinki. Le but de ce projet était de fournir du soutien aux représentants du GAC pour qu</w:t>
      </w:r>
      <w:r>
        <w:rPr>
          <w:rStyle w:val="NormalWeb"/>
          <w:rFonts w:ascii="Century Gothic" w:hAnsi="Century Gothic" w:cs="Century Gothic"/>
          <w:color w:val="000000"/>
          <w:sz w:val="20"/>
          <w:cs/>
        </w:rPr>
        <w:t>’</w:t>
      </w:r>
      <w:r>
        <w:rPr>
          <w:rStyle w:val="NormalWeb"/>
          <w:rFonts w:ascii="Century Gothic" w:hAnsi="Century Gothic"/>
          <w:color w:val="000000"/>
          <w:sz w:val="20"/>
        </w:rPr>
        <w:t>ils comprennent mieux le modèle de communauté habilitée de l</w:t>
      </w:r>
      <w:r>
        <w:rPr>
          <w:rStyle w:val="NormalWeb"/>
          <w:rFonts w:ascii="Century Gothic" w:hAnsi="Century Gothic" w:cs="Century Gothic"/>
          <w:color w:val="000000"/>
          <w:sz w:val="20"/>
          <w:cs/>
        </w:rPr>
        <w:t>’</w:t>
      </w:r>
      <w:r>
        <w:rPr>
          <w:rStyle w:val="NormalWeb"/>
          <w:rFonts w:ascii="Century Gothic" w:hAnsi="Century Gothic"/>
          <w:color w:val="000000"/>
          <w:sz w:val="20"/>
        </w:rPr>
        <w:t>ICANN, le rôle du GAC au sein de l</w:t>
      </w:r>
      <w:r>
        <w:rPr>
          <w:rStyle w:val="NormalWeb"/>
          <w:rFonts w:ascii="Century Gothic" w:hAnsi="Century Gothic" w:cs="Century Gothic"/>
          <w:color w:val="000000"/>
          <w:sz w:val="20"/>
          <w:cs/>
        </w:rPr>
        <w:t>’</w:t>
      </w:r>
      <w:r>
        <w:rPr>
          <w:rStyle w:val="NormalWeb"/>
          <w:rFonts w:ascii="Century Gothic" w:hAnsi="Century Gothic"/>
          <w:color w:val="000000"/>
          <w:sz w:val="20"/>
        </w:rPr>
        <w:t>ICANN (en particulier la participation du GAC aux processus d</w:t>
      </w:r>
      <w:r>
        <w:rPr>
          <w:rStyle w:val="NormalWeb"/>
          <w:rFonts w:ascii="Century Gothic" w:hAnsi="Century Gothic" w:cs="Century Gothic"/>
          <w:color w:val="000000"/>
          <w:sz w:val="20"/>
          <w:cs/>
        </w:rPr>
        <w:t>’</w:t>
      </w:r>
      <w:r>
        <w:rPr>
          <w:rStyle w:val="NormalWeb"/>
          <w:rFonts w:ascii="Century Gothic" w:hAnsi="Century Gothic"/>
          <w:color w:val="000000"/>
          <w:sz w:val="20"/>
        </w:rPr>
        <w:t>élaboration de politiques de l</w:t>
      </w:r>
      <w:r>
        <w:rPr>
          <w:rStyle w:val="NormalWeb"/>
          <w:rFonts w:ascii="Century Gothic" w:hAnsi="Century Gothic" w:cs="Century Gothic"/>
          <w:color w:val="000000"/>
          <w:sz w:val="20"/>
          <w:cs/>
        </w:rPr>
        <w:t>’</w:t>
      </w:r>
      <w:r>
        <w:rPr>
          <w:rStyle w:val="NormalWeb"/>
          <w:rFonts w:ascii="Century Gothic" w:hAnsi="Century Gothic"/>
          <w:color w:val="000000"/>
          <w:sz w:val="20"/>
        </w:rPr>
        <w:t>ICANN et les procédures et la composition du GAC). De plus, il a pour but de mettre l</w:t>
      </w:r>
      <w:r>
        <w:rPr>
          <w:rStyle w:val="NormalWeb"/>
          <w:rFonts w:ascii="Century Gothic" w:hAnsi="Century Gothic" w:cs="Century Gothic"/>
          <w:color w:val="000000"/>
          <w:sz w:val="20"/>
          <w:cs/>
        </w:rPr>
        <w:t>’</w:t>
      </w:r>
      <w:r>
        <w:rPr>
          <w:rStyle w:val="NormalWeb"/>
          <w:rFonts w:ascii="Century Gothic" w:hAnsi="Century Gothic"/>
          <w:color w:val="000000"/>
          <w:sz w:val="20"/>
        </w:rPr>
        <w:t>accent sur les aspects techniques (paramètres de protocole, la sécurité, la stabilité et la résilience des identificateurs uniques de l</w:t>
      </w:r>
      <w:r>
        <w:rPr>
          <w:rStyle w:val="NormalWeb"/>
          <w:rFonts w:ascii="Century Gothic" w:hAnsi="Century Gothic" w:cs="Century Gothic"/>
          <w:color w:val="000000"/>
          <w:sz w:val="20"/>
          <w:cs/>
        </w:rPr>
        <w:t>’</w:t>
      </w:r>
      <w:r>
        <w:rPr>
          <w:rStyle w:val="NormalWeb"/>
          <w:rFonts w:ascii="Century Gothic" w:hAnsi="Century Gothic"/>
          <w:color w:val="000000"/>
          <w:sz w:val="20"/>
        </w:rPr>
        <w:t>Internet) ou sur des sujets spécifiques de politique publique (codes de pays et gouvernements, cybersécurité, protection des consommateurs et plus récemment le règlement général sur la protection des données (RGPD)) qui peuvent ne pas être connus en détail par tous.</w:t>
      </w:r>
    </w:p>
    <w:p w:rsidR="00847A21" w:rsidRPr="00A326CA" w:rsidRDefault="00847A21" w:rsidP="00847A21">
      <w:pPr>
        <w:rPr>
          <w:rFonts w:ascii="Century Gothic" w:hAnsi="Century Gothic"/>
          <w:sz w:val="20"/>
          <w:szCs w:val="20"/>
        </w:rPr>
      </w:pP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Ensemble avec les co-présidents et les membres du groupe de travail du GAC sur les régions faiblement desservies, les départements en charge de la relation avec les gouvernements et de la relation avec les parties prenantes mondiales ont organisé plusieurs ateliers régionaux au cours des exercices fiscaux 2017 et 2018 (FY17 et FY18).  Vous trouverez ci-dessous un tableau de tous les ateliers tenus jusqu</w:t>
      </w:r>
      <w:r>
        <w:rPr>
          <w:rStyle w:val="Normal"/>
          <w:rFonts w:ascii="Century Gothic" w:hAnsi="Century Gothic" w:cs="Century Gothic"/>
          <w:color w:val="000000"/>
          <w:sz w:val="20"/>
          <w:cs/>
        </w:rPr>
        <w:t>’</w:t>
      </w:r>
      <w:r>
        <w:rPr>
          <w:rStyle w:val="Normal"/>
          <w:rFonts w:ascii="Century Gothic" w:hAnsi="Century Gothic"/>
          <w:color w:val="000000"/>
          <w:sz w:val="20"/>
        </w:rPr>
        <w:t>à présent.</w:t>
      </w:r>
    </w:p>
    <w:p w:rsidR="00847A21" w:rsidRPr="00A326CA" w:rsidRDefault="00847A21" w:rsidP="00847A21">
      <w:pPr>
        <w:spacing w:after="240"/>
        <w:rPr>
          <w:rFonts w:ascii="Century Gothic" w:hAnsi="Century Gothic"/>
          <w:sz w:val="20"/>
          <w:szCs w:val="20"/>
        </w:rPr>
      </w:pPr>
    </w:p>
    <w:p w:rsidR="00847A21" w:rsidRPr="00A326CA" w:rsidRDefault="00847A21" w:rsidP="00847A21">
      <w:pPr>
        <w:rPr>
          <w:rFonts w:ascii="Century Gothic" w:hAnsi="Century Gothic" w:cs="Calibri"/>
          <w:color w:val="000000"/>
          <w:sz w:val="20"/>
          <w:szCs w:val="20"/>
        </w:rPr>
      </w:pPr>
      <w:r>
        <w:rPr>
          <w:rStyle w:val="Normal"/>
          <w:rFonts w:ascii="Century Gothic" w:hAnsi="Century Gothic"/>
          <w:color w:val="000000"/>
          <w:sz w:val="20"/>
        </w:rPr>
        <w:t>Un total de sept (7) ateliers ont été tenus et un dernier a été programmé pour la réunion ICANN 62 au Panama. Le rapport final et les recommandations seront publiés après la réunion ICANN 62.</w:t>
      </w:r>
    </w:p>
    <w:p w:rsidR="00847A21" w:rsidRDefault="00847A21" w:rsidP="00847A21">
      <w:pPr>
        <w:rPr>
          <w:rFonts w:ascii="Century Gothic" w:hAnsi="Century Gothic" w:cs="Calibri"/>
          <w:color w:val="000000"/>
        </w:rPr>
      </w:pPr>
    </w:p>
    <w:p w:rsidR="00847A21" w:rsidRPr="0068625A" w:rsidRDefault="00847A21" w:rsidP="00847A21"/>
    <w:tbl>
      <w:tblPr>
        <w:tblW w:w="0" w:type="auto"/>
        <w:tblCellMar>
          <w:top w:w="15" w:type="dxa"/>
          <w:left w:w="15" w:type="dxa"/>
          <w:bottom w:w="15" w:type="dxa"/>
          <w:right w:w="15" w:type="dxa"/>
        </w:tblCellMar>
        <w:tblLook w:val="04A0" w:firstRow="1" w:lastRow="0" w:firstColumn="1" w:lastColumn="0" w:noHBand="0" w:noVBand="1"/>
      </w:tblPr>
      <w:tblGrid>
        <w:gridCol w:w="3259"/>
        <w:gridCol w:w="2965"/>
        <w:gridCol w:w="2167"/>
      </w:tblGrid>
      <w:tr w:rsidR="00847A21" w:rsidRPr="0068625A" w:rsidTr="00847A2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68625A" w:rsidRDefault="00847A21" w:rsidP="00847A21">
            <w:pPr>
              <w:rPr>
                <w:rFonts w:ascii="Century Gothic" w:hAnsi="Century Gothic"/>
              </w:rPr>
            </w:pPr>
            <w:r>
              <w:rPr>
                <w:rStyle w:val="Normal"/>
                <w:rFonts w:ascii="Century Gothic" w:hAnsi="Century Gothic"/>
                <w:b/>
                <w:color w:val="000000"/>
              </w:rPr>
              <w:t>Atelier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68625A" w:rsidRDefault="00847A21" w:rsidP="00847A21">
            <w:pPr>
              <w:rPr>
                <w:rFonts w:ascii="Century Gothic" w:hAnsi="Century Gothic"/>
              </w:rPr>
            </w:pPr>
            <w:r>
              <w:rPr>
                <w:rStyle w:val="Normal"/>
                <w:rFonts w:ascii="Century Gothic" w:hAnsi="Century Gothic"/>
                <w:b/>
                <w:color w:val="000000"/>
              </w:rPr>
              <w:t>Nombre de participants</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68625A" w:rsidRDefault="00847A21" w:rsidP="00847A21">
            <w:pPr>
              <w:rPr>
                <w:rFonts w:ascii="Century Gothic" w:hAnsi="Century Gothic"/>
              </w:rPr>
            </w:pPr>
            <w:r>
              <w:rPr>
                <w:rStyle w:val="Normal"/>
                <w:rFonts w:ascii="Century Gothic" w:hAnsi="Century Gothic"/>
                <w:b/>
                <w:color w:val="000000"/>
              </w:rPr>
              <w:t>Dates</w:t>
            </w:r>
          </w:p>
        </w:tc>
      </w:tr>
      <w:tr w:rsidR="00847A21" w:rsidRPr="0068625A" w:rsidTr="00847A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Afrique</w:t>
            </w: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Nairobi, Kenya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98</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Janvier 2017</w:t>
            </w:r>
          </w:p>
        </w:tc>
      </w:tr>
      <w:tr w:rsidR="00847A21" w:rsidRPr="0068625A" w:rsidTr="00847A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Pacifique</w:t>
            </w: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Fidji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22</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Avril 2017</w:t>
            </w:r>
          </w:p>
        </w:tc>
      </w:tr>
      <w:tr w:rsidR="00847A21" w:rsidRPr="0068625A" w:rsidTr="00847A21">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Afrique</w:t>
            </w: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Johannesbourg, Afrique du Sud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26</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Juin 2017</w:t>
            </w:r>
          </w:p>
        </w:tc>
      </w:tr>
      <w:tr w:rsidR="00847A21" w:rsidRPr="0068625A" w:rsidTr="00847A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lastRenderedPageBreak/>
              <w:t>Abou Dhabi</w:t>
            </w: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Émirats Arabes Unis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19</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Octobre 2017</w:t>
            </w:r>
          </w:p>
        </w:tc>
      </w:tr>
      <w:tr w:rsidR="00847A21" w:rsidRPr="0068625A" w:rsidTr="00847A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Asie, Kathmandou</w:t>
            </w: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Népal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20</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Février 2018</w:t>
            </w:r>
          </w:p>
        </w:tc>
      </w:tr>
      <w:tr w:rsidR="00847A21" w:rsidRPr="0068625A" w:rsidTr="00847A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San Juan</w:t>
            </w: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Puerto Rico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22</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Mars 2018</w:t>
            </w:r>
          </w:p>
        </w:tc>
      </w:tr>
      <w:tr w:rsidR="00847A21" w:rsidRPr="0068625A" w:rsidTr="00847A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Dakar  </w:t>
            </w: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Sénégal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20</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Mai 2018</w:t>
            </w:r>
          </w:p>
        </w:tc>
      </w:tr>
    </w:tbl>
    <w:p w:rsidR="00847A21" w:rsidRPr="0068625A" w:rsidRDefault="00847A21" w:rsidP="00847A21"/>
    <w:p w:rsidR="00847A21" w:rsidRDefault="00847A21" w:rsidP="00847A21">
      <w:pPr>
        <w:rPr>
          <w:rFonts w:ascii="Century Gothic" w:hAnsi="Century Gothic" w:cs="Calibri"/>
          <w:color w:val="000000"/>
        </w:rPr>
      </w:pP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olor w:val="000000"/>
          <w:sz w:val="20"/>
        </w:rPr>
        <w:t>Afin de mieux comprendre les besoins de la communauté du GAC et pour se préparer de façon pro-active, des sondages préalables et postérieurs ont été envoyés aux participants du GAC. Vous en trouverez les résultats à l</w:t>
      </w:r>
      <w:r>
        <w:rPr>
          <w:rStyle w:val="NormalWeb"/>
          <w:rFonts w:ascii="Century Gothic" w:hAnsi="Century Gothic" w:cs="Century Gothic"/>
          <w:color w:val="000000"/>
          <w:sz w:val="20"/>
          <w:cs/>
        </w:rPr>
        <w:t>’</w:t>
      </w:r>
      <w:r>
        <w:rPr>
          <w:rStyle w:val="NormalWeb"/>
          <w:rFonts w:ascii="Century Gothic" w:hAnsi="Century Gothic"/>
          <w:color w:val="000000"/>
          <w:sz w:val="20"/>
        </w:rPr>
        <w:t xml:space="preserve">adresse : </w:t>
      </w:r>
      <w:hyperlink r:id="rId7" w:history="1">
        <w:r>
          <w:rPr>
            <w:rStyle w:val="Hyperlink"/>
            <w:rFonts w:ascii="Century Gothic" w:hAnsi="Century Gothic"/>
            <w:color w:val="1155CC"/>
            <w:sz w:val="20"/>
          </w:rPr>
          <w:t>https://gac.icann.org/activity/gac-capacity-development-workshops-2017-2018</w:t>
        </w:r>
      </w:hyperlink>
      <w:r>
        <w:rPr>
          <w:rStyle w:val="NormalWeb"/>
          <w:rFonts w:ascii="Century Gothic" w:hAnsi="Century Gothic"/>
          <w:color w:val="000000"/>
          <w:sz w:val="20"/>
        </w:rPr>
        <w:t>.</w:t>
      </w:r>
    </w:p>
    <w:p w:rsidR="00847A21" w:rsidRDefault="00847A21" w:rsidP="00847A21"/>
    <w:p w:rsidR="00847A21" w:rsidRDefault="00847A21" w:rsidP="00847A21">
      <w:pPr>
        <w:pStyle w:val="Heading2"/>
      </w:pPr>
      <w:r>
        <w:rPr>
          <w:rStyle w:val="Heading2"/>
        </w:rPr>
        <w:t>Qu</w:t>
      </w:r>
      <w:r>
        <w:rPr>
          <w:rStyle w:val="Heading2"/>
          <w:rFonts w:cs="Century Gothic"/>
          <w:cs/>
        </w:rPr>
        <w:t>’</w:t>
      </w:r>
      <w:r>
        <w:rPr>
          <w:rStyle w:val="Heading2"/>
        </w:rPr>
        <w:t xml:space="preserve">attendre de la réunion ICANN 62  </w:t>
      </w:r>
    </w:p>
    <w:p w:rsidR="00847A21" w:rsidRDefault="00847A21" w:rsidP="00847A21">
      <w:pPr>
        <w:rPr>
          <w:rFonts w:ascii="Century Gothic" w:hAnsi="Century Gothic"/>
        </w:rPr>
      </w:pPr>
    </w:p>
    <w:p w:rsidR="00847A21" w:rsidRPr="00A326CA" w:rsidRDefault="00847A21" w:rsidP="00847A21">
      <w:pPr>
        <w:rPr>
          <w:rFonts w:ascii="Century Gothic" w:hAnsi="Century Gothic"/>
          <w:sz w:val="20"/>
          <w:szCs w:val="20"/>
        </w:rPr>
      </w:pPr>
      <w:r>
        <w:rPr>
          <w:rStyle w:val="Normal"/>
          <w:rFonts w:ascii="Century Gothic" w:hAnsi="Century Gothic"/>
          <w:color w:val="000000"/>
          <w:sz w:val="20"/>
        </w:rPr>
        <w:t>La séance de rapport concernant l</w:t>
      </w:r>
      <w:r>
        <w:rPr>
          <w:rStyle w:val="Normal"/>
          <w:rFonts w:ascii="Century Gothic" w:hAnsi="Century Gothic" w:cs="Century Gothic"/>
          <w:color w:val="000000"/>
          <w:sz w:val="20"/>
          <w:cs/>
        </w:rPr>
        <w:t>’</w:t>
      </w:r>
      <w:r>
        <w:rPr>
          <w:rStyle w:val="Normal"/>
          <w:rFonts w:ascii="Century Gothic" w:hAnsi="Century Gothic"/>
          <w:color w:val="000000"/>
          <w:sz w:val="20"/>
        </w:rPr>
        <w:t>évaluation préalable à la réunion ICANN 62 sera l</w:t>
      </w:r>
      <w:r>
        <w:rPr>
          <w:rStyle w:val="Normal"/>
          <w:rFonts w:ascii="Century Gothic" w:hAnsi="Century Gothic" w:cs="Century Gothic"/>
          <w:color w:val="000000"/>
          <w:sz w:val="20"/>
          <w:cs/>
        </w:rPr>
        <w:t>’</w:t>
      </w:r>
      <w:r>
        <w:rPr>
          <w:rStyle w:val="Normal"/>
          <w:rFonts w:ascii="Century Gothic" w:hAnsi="Century Gothic"/>
          <w:color w:val="000000"/>
          <w:sz w:val="20"/>
        </w:rPr>
        <w:t>occasion pour que les membres du GAC et les observateurs reçoivent un exposé concis du département en charge de la relation avec les gouvernements au sujet des 18 mois qu</w:t>
      </w:r>
      <w:r>
        <w:rPr>
          <w:rStyle w:val="Normal"/>
          <w:rFonts w:ascii="Century Gothic" w:hAnsi="Century Gothic" w:cs="Century Gothic"/>
          <w:color w:val="000000"/>
          <w:sz w:val="20"/>
          <w:cs/>
        </w:rPr>
        <w:t>’</w:t>
      </w:r>
      <w:r>
        <w:rPr>
          <w:rStyle w:val="Normal"/>
          <w:rFonts w:ascii="Century Gothic" w:hAnsi="Century Gothic"/>
          <w:color w:val="000000"/>
          <w:sz w:val="20"/>
        </w:rPr>
        <w:t>a duré cette initiative de renforcement des capacités du GAC. Le rapport contiendra :</w:t>
      </w:r>
    </w:p>
    <w:p w:rsidR="00847A21" w:rsidRPr="00A326CA" w:rsidRDefault="00A80417" w:rsidP="00847A21">
      <w:pPr>
        <w:numPr>
          <w:ilvl w:val="0"/>
          <w:numId w:val="1"/>
        </w:numPr>
        <w:textAlignment w:val="baseline"/>
        <w:rPr>
          <w:rFonts w:ascii="Century Gothic" w:hAnsi="Century Gothic" w:cs="Calibri"/>
          <w:color w:val="000000"/>
          <w:sz w:val="20"/>
          <w:szCs w:val="20"/>
        </w:rPr>
      </w:pPr>
      <w:r>
        <w:rPr>
          <w:rStyle w:val="Normal"/>
          <w:rFonts w:ascii="Century Gothic" w:hAnsi="Century Gothic"/>
          <w:color w:val="000000"/>
          <w:sz w:val="20"/>
        </w:rPr>
        <w:t>Un</w:t>
      </w:r>
      <w:r w:rsidR="00847A21">
        <w:rPr>
          <w:rStyle w:val="Normal"/>
          <w:rFonts w:ascii="Century Gothic" w:hAnsi="Century Gothic"/>
          <w:color w:val="000000"/>
          <w:sz w:val="20"/>
        </w:rPr>
        <w:t xml:space="preserve"> bilan du programme (élaboré à partir des réponses des représentants du GAC aux sondages postérieurs aux ateliers et au sondage général final),</w:t>
      </w:r>
    </w:p>
    <w:p w:rsidR="00847A21" w:rsidRPr="00A326CA" w:rsidRDefault="00A80417" w:rsidP="00847A21">
      <w:pPr>
        <w:numPr>
          <w:ilvl w:val="0"/>
          <w:numId w:val="1"/>
        </w:numPr>
        <w:textAlignment w:val="baseline"/>
        <w:rPr>
          <w:rFonts w:ascii="Century Gothic" w:hAnsi="Century Gothic" w:cs="Calibri"/>
          <w:color w:val="000000"/>
          <w:sz w:val="20"/>
          <w:szCs w:val="20"/>
        </w:rPr>
      </w:pPr>
      <w:r>
        <w:rPr>
          <w:rStyle w:val="Normal"/>
          <w:rFonts w:ascii="Century Gothic" w:hAnsi="Century Gothic"/>
          <w:color w:val="000000"/>
          <w:sz w:val="20"/>
        </w:rPr>
        <w:t>Un</w:t>
      </w:r>
      <w:r w:rsidR="00847A21">
        <w:rPr>
          <w:rStyle w:val="Normal"/>
          <w:rFonts w:ascii="Century Gothic" w:hAnsi="Century Gothic"/>
          <w:color w:val="000000"/>
          <w:sz w:val="20"/>
        </w:rPr>
        <w:t xml:space="preserve"> nombre de recommandations pour l</w:t>
      </w:r>
      <w:r w:rsidR="00847A21">
        <w:rPr>
          <w:rStyle w:val="Normal"/>
          <w:rFonts w:ascii="Century Gothic" w:hAnsi="Century Gothic" w:cs="Century Gothic"/>
          <w:color w:val="000000"/>
          <w:sz w:val="20"/>
          <w:cs/>
        </w:rPr>
        <w:t>’</w:t>
      </w:r>
      <w:r w:rsidR="00847A21">
        <w:rPr>
          <w:rStyle w:val="Normal"/>
          <w:rFonts w:ascii="Century Gothic" w:hAnsi="Century Gothic"/>
          <w:color w:val="000000"/>
          <w:sz w:val="20"/>
        </w:rPr>
        <w:t>évolution du programme de renforcement des capacités du GAC dans l</w:t>
      </w:r>
      <w:r w:rsidR="00847A21">
        <w:rPr>
          <w:rStyle w:val="Normal"/>
          <w:rFonts w:ascii="Century Gothic" w:hAnsi="Century Gothic" w:cs="Century Gothic"/>
          <w:color w:val="000000"/>
          <w:sz w:val="20"/>
          <w:cs/>
        </w:rPr>
        <w:t>’</w:t>
      </w:r>
      <w:r w:rsidR="00847A21">
        <w:rPr>
          <w:rStyle w:val="Normal"/>
          <w:rFonts w:ascii="Century Gothic" w:hAnsi="Century Gothic"/>
          <w:color w:val="000000"/>
          <w:sz w:val="20"/>
        </w:rPr>
        <w:t>avenir proche.</w:t>
      </w:r>
    </w:p>
    <w:p w:rsidR="00847A21" w:rsidRDefault="00847A21" w:rsidP="00847A21"/>
    <w:p w:rsidR="00847A21" w:rsidRPr="00EA4C85" w:rsidRDefault="00847A21" w:rsidP="00847A21">
      <w:pPr>
        <w:pStyle w:val="Heading2"/>
      </w:pPr>
      <w:r>
        <w:rPr>
          <w:rStyle w:val="Heading2"/>
        </w:rPr>
        <w:t>Plus d</w:t>
      </w:r>
      <w:r>
        <w:rPr>
          <w:rStyle w:val="Heading2"/>
          <w:rFonts w:cs="Century Gothic"/>
          <w:cs/>
        </w:rPr>
        <w:t>’</w:t>
      </w:r>
      <w:r>
        <w:rPr>
          <w:rStyle w:val="Heading2"/>
        </w:rPr>
        <w:t>informations de contexte / Détails :</w:t>
      </w:r>
    </w:p>
    <w:p w:rsidR="00847A21" w:rsidRPr="00A326CA" w:rsidRDefault="00847A21" w:rsidP="00847A21">
      <w:pPr>
        <w:pStyle w:val="Heading4"/>
        <w:keepNext w:val="0"/>
        <w:keepLines w:val="0"/>
        <w:numPr>
          <w:ilvl w:val="0"/>
          <w:numId w:val="10"/>
        </w:numPr>
        <w:spacing w:before="280" w:after="80"/>
        <w:textAlignment w:val="baseline"/>
        <w:rPr>
          <w:rFonts w:ascii="Century Gothic" w:hAnsi="Century Gothic" w:cs="Calibri"/>
          <w:color w:val="666666"/>
          <w:sz w:val="20"/>
          <w:szCs w:val="20"/>
        </w:rPr>
      </w:pPr>
      <w:r>
        <w:rPr>
          <w:rStyle w:val="Heading4"/>
          <w:rFonts w:ascii="Century Gothic" w:hAnsi="Century Gothic"/>
          <w:b/>
          <w:color w:val="1155CC"/>
          <w:sz w:val="20"/>
          <w:u w:val="single"/>
        </w:rPr>
        <w:t>Groupe de travail du GAC chargé des régions faiblement desservies</w:t>
      </w:r>
      <w:hyperlink r:id="rId8" w:history="1">
        <w:r>
          <w:rPr>
            <w:rStyle w:val="Hyperlink"/>
            <w:rFonts w:ascii="Century Gothic" w:hAnsi="Century Gothic"/>
            <w:b/>
            <w:color w:val="1155CC"/>
            <w:sz w:val="20"/>
          </w:rPr>
          <w:t>Termes de référence</w:t>
        </w:r>
      </w:hyperlink>
      <w:r>
        <w:rPr>
          <w:rStyle w:val="Heading4"/>
          <w:rFonts w:ascii="Century Gothic" w:hAnsi="Century Gothic"/>
          <w:b/>
          <w:color w:val="666666"/>
          <w:sz w:val="20"/>
        </w:rPr>
        <w:t xml:space="preserve"> </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olor w:val="000000"/>
          <w:sz w:val="20"/>
        </w:rPr>
        <w:t>Le mandat du groupe de travail du GAC élaborera une gamme de mécanismes de soutien, de conseil et d</w:t>
      </w:r>
      <w:r>
        <w:rPr>
          <w:rStyle w:val="NormalWeb"/>
          <w:rFonts w:ascii="Century Gothic" w:hAnsi="Century Gothic" w:cs="Century Gothic"/>
          <w:color w:val="000000"/>
          <w:sz w:val="20"/>
          <w:cs/>
        </w:rPr>
        <w:t>’</w:t>
      </w:r>
      <w:r>
        <w:rPr>
          <w:rStyle w:val="NormalWeb"/>
          <w:rFonts w:ascii="Century Gothic" w:hAnsi="Century Gothic"/>
          <w:color w:val="000000"/>
          <w:sz w:val="20"/>
        </w:rPr>
        <w:t>assistance visant à :</w:t>
      </w:r>
    </w:p>
    <w:p w:rsidR="00847A21" w:rsidRPr="00A326CA" w:rsidRDefault="00A80417" w:rsidP="00847A21">
      <w:pPr>
        <w:pStyle w:val="NormalWeb"/>
        <w:numPr>
          <w:ilvl w:val="0"/>
          <w:numId w:val="3"/>
        </w:numPr>
        <w:spacing w:before="0" w:beforeAutospacing="0" w:after="0" w:afterAutospacing="0"/>
        <w:textAlignment w:val="baseline"/>
        <w:rPr>
          <w:rFonts w:ascii="Century Gothic" w:hAnsi="Century Gothic" w:cs="Calibri"/>
          <w:color w:val="000000"/>
          <w:sz w:val="20"/>
          <w:szCs w:val="20"/>
        </w:rPr>
      </w:pPr>
      <w:r>
        <w:rPr>
          <w:rStyle w:val="NormalWeb"/>
          <w:rFonts w:ascii="Century Gothic" w:hAnsi="Century Gothic"/>
          <w:color w:val="000000"/>
          <w:sz w:val="20"/>
        </w:rPr>
        <w:t>Augmenter</w:t>
      </w:r>
      <w:r w:rsidR="00847A21">
        <w:rPr>
          <w:rStyle w:val="NormalWeb"/>
          <w:rFonts w:ascii="Century Gothic" w:hAnsi="Century Gothic"/>
          <w:color w:val="000000"/>
          <w:sz w:val="20"/>
        </w:rPr>
        <w:t xml:space="preserve"> le nombre et la participation des membres du GAC venant des économies moins développées et des petits États insulaires en développement</w:t>
      </w:r>
    </w:p>
    <w:p w:rsidR="00847A21" w:rsidRPr="00A326CA" w:rsidRDefault="00A80417" w:rsidP="00847A21">
      <w:pPr>
        <w:pStyle w:val="NormalWeb"/>
        <w:numPr>
          <w:ilvl w:val="0"/>
          <w:numId w:val="3"/>
        </w:numPr>
        <w:spacing w:before="0" w:beforeAutospacing="0" w:after="0" w:afterAutospacing="0"/>
        <w:textAlignment w:val="baseline"/>
        <w:rPr>
          <w:rFonts w:ascii="Century Gothic" w:hAnsi="Century Gothic" w:cs="Calibri"/>
          <w:color w:val="000000"/>
          <w:sz w:val="20"/>
          <w:szCs w:val="20"/>
        </w:rPr>
      </w:pPr>
      <w:r>
        <w:rPr>
          <w:rStyle w:val="NormalWeb"/>
          <w:rFonts w:ascii="Century Gothic" w:hAnsi="Century Gothic"/>
          <w:color w:val="000000"/>
          <w:sz w:val="20"/>
        </w:rPr>
        <w:t>Augmenter</w:t>
      </w:r>
      <w:r w:rsidR="00847A21">
        <w:rPr>
          <w:rStyle w:val="NormalWeb"/>
          <w:rFonts w:ascii="Century Gothic" w:hAnsi="Century Gothic"/>
          <w:color w:val="000000"/>
          <w:sz w:val="20"/>
        </w:rPr>
        <w:t xml:space="preserve"> les connaissances, la compréhension et la capacité des représentants du GAC venant des économies moins développées et des petits États insulaires en développement afin de leur permettre de participer aux processus politiques de l</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ICANN (et spécifiquement au GAC) afin de :</w:t>
      </w:r>
    </w:p>
    <w:p w:rsidR="00847A21" w:rsidRPr="00A326CA" w:rsidRDefault="00A80417" w:rsidP="00847A21">
      <w:pPr>
        <w:pStyle w:val="NormalWeb"/>
        <w:numPr>
          <w:ilvl w:val="1"/>
          <w:numId w:val="4"/>
        </w:numPr>
        <w:spacing w:before="0" w:beforeAutospacing="0" w:after="0" w:afterAutospacing="0"/>
        <w:textAlignment w:val="baseline"/>
        <w:rPr>
          <w:rFonts w:ascii="Century Gothic" w:hAnsi="Century Gothic" w:cs="Calibri"/>
          <w:color w:val="000000"/>
          <w:sz w:val="20"/>
          <w:szCs w:val="20"/>
        </w:rPr>
      </w:pPr>
      <w:r>
        <w:rPr>
          <w:rStyle w:val="NormalWeb"/>
          <w:rFonts w:ascii="Century Gothic" w:hAnsi="Century Gothic"/>
          <w:color w:val="000000"/>
          <w:sz w:val="20"/>
        </w:rPr>
        <w:lastRenderedPageBreak/>
        <w:t>Augmenter</w:t>
      </w:r>
      <w:r w:rsidR="00847A21">
        <w:rPr>
          <w:rStyle w:val="NormalWeb"/>
          <w:rFonts w:ascii="Century Gothic" w:hAnsi="Century Gothic"/>
          <w:color w:val="000000"/>
          <w:sz w:val="20"/>
        </w:rPr>
        <w:t xml:space="preserve"> la participation et l</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engagement des régions faiblement desservies au cours des futures séries des nouveaux gTLD.</w:t>
      </w:r>
    </w:p>
    <w:p w:rsidR="00847A21" w:rsidRPr="00A326CA" w:rsidRDefault="00A80417" w:rsidP="00847A21">
      <w:pPr>
        <w:pStyle w:val="NormalWeb"/>
        <w:numPr>
          <w:ilvl w:val="1"/>
          <w:numId w:val="4"/>
        </w:numPr>
        <w:spacing w:before="0" w:beforeAutospacing="0" w:after="0" w:afterAutospacing="0"/>
        <w:textAlignment w:val="baseline"/>
        <w:rPr>
          <w:rFonts w:ascii="Century Gothic" w:hAnsi="Century Gothic" w:cs="Calibri"/>
          <w:color w:val="000000"/>
          <w:sz w:val="20"/>
          <w:szCs w:val="20"/>
        </w:rPr>
      </w:pPr>
      <w:r>
        <w:rPr>
          <w:rStyle w:val="NormalWeb"/>
          <w:rFonts w:ascii="Century Gothic" w:hAnsi="Century Gothic"/>
          <w:color w:val="000000"/>
          <w:sz w:val="20"/>
        </w:rPr>
        <w:t>Encourager</w:t>
      </w:r>
      <w:r w:rsidR="00847A21">
        <w:rPr>
          <w:rStyle w:val="NormalWeb"/>
          <w:rFonts w:ascii="Century Gothic" w:hAnsi="Century Gothic"/>
          <w:color w:val="000000"/>
          <w:sz w:val="20"/>
        </w:rPr>
        <w:t xml:space="preserve"> la croissance et le développement de l</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industrie des noms de domaine (y compris les registres et les bureaux d</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enregistrement) dans les régions actuellement mal desservies.</w:t>
      </w:r>
    </w:p>
    <w:p w:rsidR="00847A21" w:rsidRPr="00A326CA" w:rsidRDefault="00847A21" w:rsidP="00847A21">
      <w:pPr>
        <w:pStyle w:val="Heading4"/>
        <w:keepNext w:val="0"/>
        <w:keepLines w:val="0"/>
        <w:numPr>
          <w:ilvl w:val="0"/>
          <w:numId w:val="10"/>
        </w:numPr>
        <w:spacing w:before="280" w:after="80"/>
        <w:textAlignment w:val="baseline"/>
        <w:rPr>
          <w:rFonts w:ascii="Century Gothic" w:hAnsi="Century Gothic" w:cs="Calibri"/>
          <w:color w:val="000000"/>
          <w:sz w:val="20"/>
          <w:szCs w:val="20"/>
        </w:rPr>
      </w:pPr>
      <w:r>
        <w:rPr>
          <w:rStyle w:val="Heading4"/>
          <w:rFonts w:ascii="Century Gothic" w:hAnsi="Century Gothic"/>
          <w:b/>
          <w:color w:val="000000"/>
          <w:sz w:val="20"/>
        </w:rPr>
        <w:t>Communiqués du GAC (ICANN 56 à 59)</w:t>
      </w:r>
    </w:p>
    <w:p w:rsidR="00847A21" w:rsidRPr="00A326CA" w:rsidRDefault="00847A21" w:rsidP="00847A21">
      <w:pPr>
        <w:rPr>
          <w:rFonts w:ascii="Century Gothic" w:hAnsi="Century Gothic"/>
          <w:sz w:val="20"/>
          <w:szCs w:val="20"/>
        </w:rPr>
      </w:pPr>
    </w:p>
    <w:p w:rsidR="00847A21" w:rsidRPr="00302FF3" w:rsidRDefault="00847A21" w:rsidP="00847A21">
      <w:pPr>
        <w:pStyle w:val="NormalWeb"/>
        <w:numPr>
          <w:ilvl w:val="0"/>
          <w:numId w:val="6"/>
        </w:numPr>
        <w:spacing w:before="0" w:beforeAutospacing="0" w:after="0" w:afterAutospacing="0"/>
        <w:textAlignment w:val="baseline"/>
        <w:rPr>
          <w:rFonts w:ascii="Century Gothic" w:hAnsi="Century Gothic" w:cs="Calibri"/>
          <w:b/>
          <w:bCs/>
          <w:color w:val="000000"/>
          <w:sz w:val="20"/>
          <w:szCs w:val="20"/>
        </w:rPr>
      </w:pPr>
      <w:r>
        <w:rPr>
          <w:rStyle w:val="NormalWeb"/>
          <w:rFonts w:ascii="Century Gothic" w:hAnsi="Century Gothic"/>
          <w:b/>
          <w:color w:val="000000"/>
          <w:sz w:val="20"/>
        </w:rPr>
        <w:t xml:space="preserve">Communiqué du GAC : </w:t>
      </w:r>
      <w:hyperlink r:id="rId9" w:history="1">
        <w:r>
          <w:rPr>
            <w:rStyle w:val="Hyperlink"/>
            <w:rFonts w:ascii="Century Gothic" w:hAnsi="Century Gothic"/>
            <w:b/>
            <w:color w:val="1155CC"/>
            <w:sz w:val="20"/>
          </w:rPr>
          <w:t xml:space="preserve">Helsinki, Finlande - </w:t>
        </w:r>
        <w:r w:rsidR="00A80417">
          <w:rPr>
            <w:rStyle w:val="Hyperlink"/>
            <w:rFonts w:ascii="Century Gothic" w:hAnsi="Century Gothic"/>
            <w:b/>
            <w:color w:val="1155CC"/>
            <w:sz w:val="20"/>
          </w:rPr>
          <w:t>j</w:t>
        </w:r>
        <w:r>
          <w:rPr>
            <w:rStyle w:val="Hyperlink"/>
            <w:rFonts w:ascii="Century Gothic" w:hAnsi="Century Gothic"/>
            <w:b/>
            <w:color w:val="1155CC"/>
            <w:sz w:val="20"/>
          </w:rPr>
          <w:t>uin 2016 (ICANN 56)</w:t>
        </w:r>
      </w:hyperlink>
    </w:p>
    <w:p w:rsidR="00847A21" w:rsidRPr="00302FF3" w:rsidRDefault="00847A21" w:rsidP="00847A21">
      <w:pPr>
        <w:rPr>
          <w:rFonts w:ascii="Century Gothic" w:hAnsi="Century Gothic"/>
          <w:sz w:val="20"/>
          <w:szCs w:val="20"/>
        </w:rPr>
      </w:pPr>
    </w:p>
    <w:p w:rsidR="00847A21" w:rsidRPr="00A326CA" w:rsidRDefault="00A80417" w:rsidP="00847A21">
      <w:pPr>
        <w:pStyle w:val="NormalWeb"/>
        <w:spacing w:before="0" w:beforeAutospacing="0" w:after="0" w:afterAutospacing="0"/>
        <w:rPr>
          <w:rFonts w:ascii="Century Gothic" w:hAnsi="Century Gothic"/>
          <w:sz w:val="20"/>
          <w:szCs w:val="20"/>
        </w:rPr>
      </w:pPr>
      <w:r>
        <w:rPr>
          <w:rStyle w:val="NormalWeb"/>
          <w:rFonts w:ascii="Century Gothic" w:hAnsi="Century Gothic"/>
          <w:color w:val="000000"/>
          <w:sz w:val="20"/>
        </w:rPr>
        <w:t>« </w:t>
      </w:r>
      <w:r w:rsidR="00847A21">
        <w:rPr>
          <w:rStyle w:val="NormalWeb"/>
          <w:rFonts w:ascii="Century Gothic" w:hAnsi="Century Gothic"/>
          <w:color w:val="000000"/>
          <w:sz w:val="20"/>
        </w:rPr>
        <w:t>Le GAC a tenu une séance de renforcement des capacités lors de la réunion ICANN 56, co-organisée par le groupe de travail du GAC sur les régions faiblement desservies et l</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équipe de participation gouvernementale / participation des parties prenantes mondiales (GE/GSE) de l</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ICANN. À l</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issue de la séance, les co-présidents du groupe de travail ont invité l</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équipe GE/GSE à poursuivre leur étroite coopération et à travailler ensemble afin d</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aider les responsables gouvernementaux membres du GAC à renforcer les capacités et expertises sur différents sujets liés au DNS. Parallèlement, le groupe de travail du GAC identifiera des domaines et des questions prioritaires que l</w:t>
      </w:r>
      <w:r w:rsidR="00847A21">
        <w:rPr>
          <w:rStyle w:val="NormalWeb"/>
          <w:rFonts w:ascii="Century Gothic" w:hAnsi="Century Gothic" w:cs="Century Gothic"/>
          <w:color w:val="000000"/>
          <w:sz w:val="20"/>
          <w:cs/>
        </w:rPr>
        <w:t>’</w:t>
      </w:r>
      <w:r w:rsidR="00847A21">
        <w:rPr>
          <w:rStyle w:val="NormalWeb"/>
          <w:rFonts w:ascii="Century Gothic" w:hAnsi="Century Gothic"/>
          <w:color w:val="000000"/>
          <w:sz w:val="20"/>
        </w:rPr>
        <w:t>équipe de GE/GSE pourrait inclure dans ses activités en matière de renforcement des capacités</w:t>
      </w:r>
      <w:r>
        <w:rPr>
          <w:rStyle w:val="NormalWeb"/>
          <w:rFonts w:ascii="Century Gothic" w:hAnsi="Century Gothic"/>
          <w:color w:val="000000"/>
          <w:sz w:val="20"/>
        </w:rPr>
        <w:t> »</w:t>
      </w:r>
      <w:r w:rsidR="00847A21">
        <w:rPr>
          <w:rStyle w:val="NormalWeb"/>
          <w:rFonts w:ascii="Century Gothic" w:hAnsi="Century Gothic"/>
          <w:color w:val="000000"/>
          <w:sz w:val="20"/>
        </w:rPr>
        <w:t>.</w:t>
      </w:r>
    </w:p>
    <w:p w:rsidR="00847A21" w:rsidRPr="00A326CA" w:rsidRDefault="00847A21" w:rsidP="00847A21">
      <w:pPr>
        <w:rPr>
          <w:rFonts w:ascii="Century Gothic" w:hAnsi="Century Gothic"/>
          <w:sz w:val="20"/>
          <w:szCs w:val="20"/>
        </w:rPr>
      </w:pPr>
    </w:p>
    <w:p w:rsidR="00847A21" w:rsidRPr="00A326CA" w:rsidRDefault="00847A21" w:rsidP="00847A21">
      <w:pPr>
        <w:pStyle w:val="NormalWeb"/>
        <w:numPr>
          <w:ilvl w:val="0"/>
          <w:numId w:val="11"/>
        </w:numPr>
        <w:spacing w:before="0" w:beforeAutospacing="0" w:after="0" w:afterAutospacing="0"/>
        <w:textAlignment w:val="baseline"/>
        <w:rPr>
          <w:rFonts w:ascii="Century Gothic" w:hAnsi="Century Gothic" w:cs="Calibri"/>
          <w:b/>
          <w:bCs/>
          <w:color w:val="000000"/>
          <w:sz w:val="20"/>
          <w:szCs w:val="20"/>
        </w:rPr>
      </w:pPr>
      <w:r>
        <w:rPr>
          <w:rStyle w:val="NormalWeb"/>
          <w:rFonts w:ascii="Century Gothic" w:hAnsi="Century Gothic"/>
          <w:b/>
          <w:color w:val="000000"/>
          <w:sz w:val="20"/>
        </w:rPr>
        <w:t xml:space="preserve">Communiqué du GAC : </w:t>
      </w:r>
      <w:hyperlink r:id="rId10" w:history="1">
        <w:r>
          <w:rPr>
            <w:rStyle w:val="Hyperlink"/>
            <w:rFonts w:ascii="Century Gothic" w:hAnsi="Century Gothic"/>
            <w:b/>
            <w:color w:val="1155CC"/>
            <w:sz w:val="20"/>
          </w:rPr>
          <w:t xml:space="preserve">Hyderabad, Inde - </w:t>
        </w:r>
        <w:r w:rsidR="00A80417">
          <w:rPr>
            <w:rStyle w:val="Hyperlink"/>
            <w:rFonts w:ascii="Century Gothic" w:hAnsi="Century Gothic"/>
            <w:b/>
            <w:color w:val="1155CC"/>
            <w:sz w:val="20"/>
          </w:rPr>
          <w:t>n</w:t>
        </w:r>
        <w:r>
          <w:rPr>
            <w:rStyle w:val="Hyperlink"/>
            <w:rFonts w:ascii="Century Gothic" w:hAnsi="Century Gothic"/>
            <w:b/>
            <w:color w:val="1155CC"/>
            <w:sz w:val="20"/>
          </w:rPr>
          <w:t>ovembre 2016 (ICANN 57)</w:t>
        </w:r>
      </w:hyperlink>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olor w:val="000000"/>
          <w:sz w:val="20"/>
        </w:rPr>
        <w:t xml:space="preserve"> </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 Le GAC conseille au Conseil d</w:t>
      </w:r>
      <w:r>
        <w:rPr>
          <w:rStyle w:val="NormalWeb"/>
          <w:rFonts w:ascii="Century Gothic" w:hAnsi="Century Gothic" w:cs="Century Gothic"/>
          <w:i/>
          <w:color w:val="000000"/>
          <w:sz w:val="20"/>
          <w:cs/>
        </w:rPr>
        <w:t>’</w:t>
      </w:r>
      <w:r>
        <w:rPr>
          <w:rStyle w:val="NormalWeb"/>
          <w:rFonts w:ascii="Century Gothic" w:hAnsi="Century Gothic"/>
          <w:i/>
          <w:color w:val="000000"/>
          <w:sz w:val="20"/>
        </w:rPr>
        <w:t>administration de l</w:t>
      </w:r>
      <w:r>
        <w:rPr>
          <w:rStyle w:val="NormalWeb"/>
          <w:rFonts w:ascii="Century Gothic" w:hAnsi="Century Gothic" w:cs="Century Gothic"/>
          <w:i/>
          <w:color w:val="000000"/>
          <w:sz w:val="20"/>
          <w:cs/>
        </w:rPr>
        <w:t>’</w:t>
      </w:r>
      <w:r>
        <w:rPr>
          <w:rStyle w:val="NormalWeb"/>
          <w:rFonts w:ascii="Century Gothic" w:hAnsi="Century Gothic"/>
          <w:i/>
          <w:color w:val="000000"/>
          <w:sz w:val="20"/>
        </w:rPr>
        <w:t>ICANN de :</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 xml:space="preserve"> I. Prendre les mesures nécessaires pour permettre la mise en œuvre des activités du GAC liées aux régions faiblement desservies, y compris mais non limité au renforcement des capacités et à la participation aux processus de politiques de l</w:t>
      </w:r>
      <w:r>
        <w:rPr>
          <w:rStyle w:val="NormalWeb"/>
          <w:rFonts w:ascii="Century Gothic" w:hAnsi="Century Gothic" w:cs="Century Gothic"/>
          <w:i/>
          <w:color w:val="000000"/>
          <w:sz w:val="20"/>
          <w:cs/>
        </w:rPr>
        <w:t>’</w:t>
      </w:r>
      <w:r>
        <w:rPr>
          <w:rStyle w:val="NormalWeb"/>
          <w:rFonts w:ascii="Century Gothic" w:hAnsi="Century Gothic"/>
          <w:i/>
          <w:color w:val="000000"/>
          <w:sz w:val="20"/>
        </w:rPr>
        <w:t>ICANN</w:t>
      </w:r>
      <w:r w:rsidR="00A80417">
        <w:rPr>
          <w:rStyle w:val="NormalWeb"/>
          <w:rFonts w:ascii="Century Gothic" w:hAnsi="Century Gothic"/>
          <w:i/>
          <w:color w:val="000000"/>
          <w:sz w:val="20"/>
        </w:rPr>
        <w:t> »</w:t>
      </w:r>
      <w:r>
        <w:rPr>
          <w:rStyle w:val="NormalWeb"/>
          <w:rFonts w:ascii="Century Gothic" w:hAnsi="Century Gothic"/>
          <w:i/>
          <w:color w:val="000000"/>
          <w:sz w:val="20"/>
        </w:rPr>
        <w:t>.</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 xml:space="preserve"> </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b/>
          <w:i/>
          <w:color w:val="000000"/>
          <w:sz w:val="20"/>
        </w:rPr>
        <w:t>FONDEMENT</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L</w:t>
      </w:r>
      <w:r>
        <w:rPr>
          <w:rStyle w:val="NormalWeb"/>
          <w:rFonts w:ascii="Century Gothic" w:hAnsi="Century Gothic" w:cs="Century Gothic"/>
          <w:i/>
          <w:color w:val="000000"/>
          <w:sz w:val="20"/>
          <w:cs/>
        </w:rPr>
        <w:t>’</w:t>
      </w:r>
      <w:r>
        <w:rPr>
          <w:rStyle w:val="NormalWeb"/>
          <w:rFonts w:ascii="Century Gothic" w:hAnsi="Century Gothic"/>
          <w:i/>
          <w:color w:val="000000"/>
          <w:sz w:val="20"/>
        </w:rPr>
        <w:t>approche multipartite qui est fondamentale pour l</w:t>
      </w:r>
      <w:r>
        <w:rPr>
          <w:rStyle w:val="NormalWeb"/>
          <w:rFonts w:ascii="Century Gothic" w:hAnsi="Century Gothic" w:cs="Century Gothic"/>
          <w:i/>
          <w:color w:val="000000"/>
          <w:sz w:val="20"/>
          <w:cs/>
        </w:rPr>
        <w:t>’</w:t>
      </w:r>
      <w:r>
        <w:rPr>
          <w:rStyle w:val="NormalWeb"/>
          <w:rFonts w:ascii="Century Gothic" w:hAnsi="Century Gothic"/>
          <w:i/>
          <w:color w:val="000000"/>
          <w:sz w:val="20"/>
        </w:rPr>
        <w:t>ICANN a contribué à des efforts collectifs impressionnants permettant d</w:t>
      </w:r>
      <w:r>
        <w:rPr>
          <w:rStyle w:val="NormalWeb"/>
          <w:rFonts w:ascii="Century Gothic" w:hAnsi="Century Gothic" w:cs="Century Gothic"/>
          <w:i/>
          <w:color w:val="000000"/>
          <w:sz w:val="20"/>
          <w:cs/>
        </w:rPr>
        <w:t>’</w:t>
      </w:r>
      <w:r>
        <w:rPr>
          <w:rStyle w:val="NormalWeb"/>
          <w:rFonts w:ascii="Century Gothic" w:hAnsi="Century Gothic"/>
          <w:i/>
          <w:color w:val="000000"/>
          <w:sz w:val="20"/>
        </w:rPr>
        <w:t>élaborer des politiques et de développer des processus techniques complexes. Toutefois, il est impératif pour nous de reconnaître et d'être conscients que, bien que la méthode soit destinée à permettre</w:t>
      </w:r>
      <w:r w:rsidR="00A80417">
        <w:rPr>
          <w:rFonts w:ascii="Century Gothic" w:hAnsi="Century Gothic"/>
          <w:sz w:val="20"/>
          <w:szCs w:val="20"/>
        </w:rPr>
        <w:t xml:space="preserve"> </w:t>
      </w:r>
      <w:r>
        <w:rPr>
          <w:rStyle w:val="NormalWeb"/>
          <w:rFonts w:ascii="Century Gothic" w:hAnsi="Century Gothic"/>
          <w:i/>
          <w:color w:val="000000"/>
          <w:sz w:val="20"/>
        </w:rPr>
        <w:t>l</w:t>
      </w:r>
      <w:r>
        <w:rPr>
          <w:rStyle w:val="NormalWeb"/>
          <w:rFonts w:ascii="Century Gothic" w:hAnsi="Century Gothic" w:cs="Century Gothic"/>
          <w:i/>
          <w:color w:val="000000"/>
          <w:sz w:val="20"/>
          <w:cs/>
        </w:rPr>
        <w:t>’</w:t>
      </w:r>
      <w:r>
        <w:rPr>
          <w:rStyle w:val="NormalWeb"/>
          <w:rFonts w:ascii="Century Gothic" w:hAnsi="Century Gothic"/>
          <w:i/>
          <w:color w:val="000000"/>
          <w:sz w:val="20"/>
        </w:rPr>
        <w:t>inclusion et la diversité pour que toutes les parties prenantes puissent s</w:t>
      </w:r>
      <w:r>
        <w:rPr>
          <w:rStyle w:val="NormalWeb"/>
          <w:rFonts w:ascii="Century Gothic" w:hAnsi="Century Gothic" w:cs="Century Gothic"/>
          <w:i/>
          <w:color w:val="000000"/>
          <w:sz w:val="20"/>
          <w:cs/>
        </w:rPr>
        <w:t>’</w:t>
      </w:r>
      <w:r>
        <w:rPr>
          <w:rStyle w:val="NormalWeb"/>
          <w:rFonts w:ascii="Century Gothic" w:hAnsi="Century Gothic"/>
          <w:i/>
          <w:color w:val="000000"/>
          <w:sz w:val="20"/>
        </w:rPr>
        <w:t>exprimer pleinement e</w:t>
      </w:r>
      <w:r w:rsidR="00A80417">
        <w:rPr>
          <w:rStyle w:val="NormalWeb"/>
          <w:rFonts w:ascii="Century Gothic" w:hAnsi="Century Gothic"/>
          <w:i/>
          <w:color w:val="000000"/>
          <w:sz w:val="20"/>
        </w:rPr>
        <w:t>t</w:t>
      </w:r>
      <w:r>
        <w:rPr>
          <w:rStyle w:val="NormalWeb"/>
          <w:rFonts w:ascii="Century Gothic" w:hAnsi="Century Gothic"/>
          <w:i/>
          <w:color w:val="000000"/>
          <w:sz w:val="20"/>
        </w:rPr>
        <w:t xml:space="preserve"> influencer la prise de décisions de l</w:t>
      </w:r>
      <w:r>
        <w:rPr>
          <w:rStyle w:val="NormalWeb"/>
          <w:rFonts w:ascii="Century Gothic" w:hAnsi="Century Gothic" w:cs="Century Gothic"/>
          <w:i/>
          <w:color w:val="000000"/>
          <w:sz w:val="20"/>
          <w:cs/>
        </w:rPr>
        <w:t>’</w:t>
      </w:r>
      <w:r>
        <w:rPr>
          <w:rStyle w:val="NormalWeb"/>
          <w:rFonts w:ascii="Century Gothic" w:hAnsi="Century Gothic"/>
          <w:i/>
          <w:color w:val="000000"/>
          <w:sz w:val="20"/>
        </w:rPr>
        <w:t>ICANN, les régions en développement sont toujours confrontées à de nombreux défis qui limitent leur participation. Le GAC a élaboré un plan de travail qui vise à adresser certains de ces défis et à fournir des recommandations.</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 xml:space="preserve"> </w:t>
      </w:r>
    </w:p>
    <w:p w:rsidR="00847A21" w:rsidRPr="00A326CA" w:rsidRDefault="00847A21" w:rsidP="00847A21">
      <w:pPr>
        <w:pStyle w:val="NormalWeb"/>
        <w:numPr>
          <w:ilvl w:val="0"/>
          <w:numId w:val="11"/>
        </w:numPr>
        <w:spacing w:before="0" w:beforeAutospacing="0" w:after="0" w:afterAutospacing="0"/>
        <w:textAlignment w:val="baseline"/>
        <w:rPr>
          <w:rFonts w:ascii="Century Gothic" w:hAnsi="Century Gothic" w:cs="Calibri"/>
          <w:b/>
          <w:bCs/>
          <w:color w:val="000000"/>
          <w:sz w:val="20"/>
          <w:szCs w:val="20"/>
        </w:rPr>
      </w:pPr>
      <w:r>
        <w:rPr>
          <w:rStyle w:val="NormalWeb"/>
          <w:rFonts w:ascii="Century Gothic" w:hAnsi="Century Gothic"/>
          <w:b/>
          <w:color w:val="000000"/>
          <w:sz w:val="20"/>
        </w:rPr>
        <w:t xml:space="preserve">Communiqué du GAC : </w:t>
      </w:r>
      <w:hyperlink r:id="rId11" w:history="1">
        <w:r>
          <w:rPr>
            <w:rStyle w:val="Hyperlink"/>
            <w:rFonts w:ascii="Century Gothic" w:hAnsi="Century Gothic"/>
            <w:b/>
            <w:color w:val="1155CC"/>
            <w:sz w:val="20"/>
          </w:rPr>
          <w:t xml:space="preserve">Copenhague, Danemark - </w:t>
        </w:r>
        <w:r w:rsidR="00A80417">
          <w:rPr>
            <w:rStyle w:val="Hyperlink"/>
            <w:rFonts w:ascii="Century Gothic" w:hAnsi="Century Gothic"/>
            <w:b/>
            <w:color w:val="1155CC"/>
            <w:sz w:val="20"/>
          </w:rPr>
          <w:t>m</w:t>
        </w:r>
        <w:r>
          <w:rPr>
            <w:rStyle w:val="Hyperlink"/>
            <w:rFonts w:ascii="Century Gothic" w:hAnsi="Century Gothic"/>
            <w:b/>
            <w:color w:val="1155CC"/>
            <w:sz w:val="20"/>
          </w:rPr>
          <w:t>ars 2017 (ICANN 58)</w:t>
        </w:r>
      </w:hyperlink>
    </w:p>
    <w:p w:rsidR="00847A21" w:rsidRPr="00A326CA" w:rsidRDefault="00847A21" w:rsidP="00847A21">
      <w:pPr>
        <w:rPr>
          <w:rFonts w:ascii="Century Gothic" w:hAnsi="Century Gothic"/>
          <w:sz w:val="20"/>
          <w:szCs w:val="20"/>
        </w:rPr>
      </w:pP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s="Century Gothic"/>
          <w:i/>
          <w:color w:val="000000"/>
          <w:sz w:val="20"/>
          <w:cs/>
        </w:rPr>
        <w:t>•</w:t>
      </w:r>
      <w:r>
        <w:rPr>
          <w:rStyle w:val="NormalWeb"/>
          <w:rFonts w:ascii="Century Gothic" w:hAnsi="Century Gothic"/>
          <w:i/>
          <w:color w:val="000000"/>
          <w:sz w:val="20"/>
        </w:rPr>
        <w:t> Le Groupe de travail du GAC sur les régions faiblement desservies a tenu deux séances pour avancer avec son travail et fournir des mises à jour sur diverses activités, tel que stipulé dans son plan de travail. Pour faire avancer son travail en cours, les co-présidents du groupe de travail se sont réunis avec</w:t>
      </w:r>
      <w:r w:rsidR="00A80417">
        <w:rPr>
          <w:rFonts w:ascii="Century Gothic" w:hAnsi="Century Gothic"/>
          <w:sz w:val="20"/>
          <w:szCs w:val="20"/>
        </w:rPr>
        <w:t xml:space="preserve"> </w:t>
      </w:r>
      <w:r>
        <w:rPr>
          <w:rStyle w:val="NormalWeb"/>
          <w:rFonts w:ascii="Century Gothic" w:hAnsi="Century Gothic"/>
          <w:i/>
          <w:color w:val="000000"/>
          <w:sz w:val="20"/>
        </w:rPr>
        <w:t>la ccNSO et la PTI pour discuter et explorer les différentes approches aux tâches mandatées par le GAC</w:t>
      </w:r>
      <w:r w:rsidR="00A80417">
        <w:rPr>
          <w:rFonts w:ascii="Century Gothic" w:hAnsi="Century Gothic"/>
          <w:sz w:val="20"/>
          <w:szCs w:val="20"/>
        </w:rPr>
        <w:t xml:space="preserve"> </w:t>
      </w:r>
      <w:r>
        <w:rPr>
          <w:rStyle w:val="NormalWeb"/>
          <w:rFonts w:ascii="Century Gothic" w:hAnsi="Century Gothic"/>
          <w:i/>
          <w:color w:val="000000"/>
          <w:sz w:val="20"/>
        </w:rPr>
        <w:t>pour que le groupe de travail agisse comme premier point de contact des membres du GAC ayant des problèmes liés à la délégation et re-délégation de ccTLD.</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s="Century Gothic"/>
          <w:i/>
          <w:color w:val="000000"/>
          <w:sz w:val="20"/>
          <w:cs/>
        </w:rPr>
        <w:lastRenderedPageBreak/>
        <w:t xml:space="preserve">• </w:t>
      </w:r>
      <w:r>
        <w:rPr>
          <w:rStyle w:val="NormalWeb"/>
          <w:rFonts w:ascii="Century Gothic" w:hAnsi="Century Gothic"/>
          <w:i/>
          <w:color w:val="000000"/>
          <w:sz w:val="20"/>
        </w:rPr>
        <w:t>Le département de l</w:t>
      </w:r>
      <w:r>
        <w:rPr>
          <w:rStyle w:val="NormalWeb"/>
          <w:rFonts w:ascii="Century Gothic" w:hAnsi="Century Gothic" w:cs="Century Gothic"/>
          <w:i/>
          <w:color w:val="000000"/>
          <w:sz w:val="20"/>
          <w:cs/>
        </w:rPr>
        <w:t>’</w:t>
      </w:r>
      <w:r>
        <w:rPr>
          <w:rStyle w:val="NormalWeb"/>
          <w:rFonts w:ascii="Century Gothic" w:hAnsi="Century Gothic"/>
          <w:i/>
          <w:color w:val="000000"/>
          <w:sz w:val="20"/>
        </w:rPr>
        <w:t>ICANN chargé du développement et de la responsabilité publique (DPRD) discutera de la possibilité de collaborer à la création et l</w:t>
      </w:r>
      <w:r>
        <w:rPr>
          <w:rStyle w:val="NormalWeb"/>
          <w:rFonts w:ascii="Century Gothic" w:hAnsi="Century Gothic" w:cs="Century Gothic"/>
          <w:i/>
          <w:color w:val="000000"/>
          <w:sz w:val="20"/>
          <w:cs/>
        </w:rPr>
        <w:t>’</w:t>
      </w:r>
      <w:r>
        <w:rPr>
          <w:rStyle w:val="NormalWeb"/>
          <w:rFonts w:ascii="Century Gothic" w:hAnsi="Century Gothic"/>
          <w:i/>
          <w:color w:val="000000"/>
          <w:sz w:val="20"/>
        </w:rPr>
        <w:t>exécution d</w:t>
      </w:r>
      <w:r>
        <w:rPr>
          <w:rStyle w:val="NormalWeb"/>
          <w:rFonts w:ascii="Century Gothic" w:hAnsi="Century Gothic" w:cs="Century Gothic"/>
          <w:i/>
          <w:color w:val="000000"/>
          <w:sz w:val="20"/>
          <w:cs/>
        </w:rPr>
        <w:t>’</w:t>
      </w:r>
      <w:r>
        <w:rPr>
          <w:rStyle w:val="NormalWeb"/>
          <w:rFonts w:ascii="Century Gothic" w:hAnsi="Century Gothic"/>
          <w:i/>
          <w:color w:val="000000"/>
          <w:sz w:val="20"/>
        </w:rPr>
        <w:t>une enquête du groupe de travail pour les membres du GAC venant de régions faiblement desservies.</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s="Century Gothic"/>
          <w:i/>
          <w:color w:val="000000"/>
          <w:sz w:val="20"/>
          <w:cs/>
        </w:rPr>
        <w:t xml:space="preserve">• </w:t>
      </w:r>
      <w:r>
        <w:rPr>
          <w:rStyle w:val="NormalWeb"/>
          <w:rFonts w:ascii="Century Gothic" w:hAnsi="Century Gothic"/>
          <w:i/>
          <w:color w:val="000000"/>
          <w:sz w:val="20"/>
        </w:rPr>
        <w:t>Les équipes de l</w:t>
      </w:r>
      <w:r>
        <w:rPr>
          <w:rStyle w:val="NormalWeb"/>
          <w:rFonts w:ascii="Century Gothic" w:hAnsi="Century Gothic" w:cs="Century Gothic"/>
          <w:i/>
          <w:color w:val="000000"/>
          <w:sz w:val="20"/>
          <w:cs/>
        </w:rPr>
        <w:t>’</w:t>
      </w:r>
      <w:r>
        <w:rPr>
          <w:rStyle w:val="NormalWeb"/>
          <w:rFonts w:ascii="Century Gothic" w:hAnsi="Century Gothic"/>
          <w:i/>
          <w:color w:val="000000"/>
          <w:sz w:val="20"/>
        </w:rPr>
        <w:t>ICANN chargées de la relation avec les gouvernements, de la relation avec les parties prenantes mondiales et de la sécurité, la stabilité et la résilience planifieront la prochaine série de séances régionales de renforcement des capacités conçues pour les membres du GAC et les organismes d</w:t>
      </w:r>
      <w:r>
        <w:rPr>
          <w:rStyle w:val="NormalWeb"/>
          <w:rFonts w:ascii="Century Gothic" w:hAnsi="Century Gothic" w:cs="Century Gothic"/>
          <w:i/>
          <w:color w:val="000000"/>
          <w:sz w:val="20"/>
          <w:cs/>
        </w:rPr>
        <w:t>’</w:t>
      </w:r>
      <w:r>
        <w:rPr>
          <w:rStyle w:val="NormalWeb"/>
          <w:rFonts w:ascii="Century Gothic" w:hAnsi="Century Gothic"/>
          <w:i/>
          <w:color w:val="000000"/>
          <w:sz w:val="20"/>
        </w:rPr>
        <w:t>application de la loi des régions faiblement desservies d</w:t>
      </w:r>
      <w:r>
        <w:rPr>
          <w:rStyle w:val="NormalWeb"/>
          <w:rFonts w:ascii="Century Gothic" w:hAnsi="Century Gothic" w:cs="Century Gothic"/>
          <w:i/>
          <w:color w:val="000000"/>
          <w:sz w:val="20"/>
          <w:cs/>
        </w:rPr>
        <w:t>’</w:t>
      </w:r>
      <w:r>
        <w:rPr>
          <w:rStyle w:val="NormalWeb"/>
          <w:rFonts w:ascii="Century Gothic" w:hAnsi="Century Gothic"/>
          <w:i/>
          <w:color w:val="000000"/>
          <w:sz w:val="20"/>
        </w:rPr>
        <w:t>Asie-Pacifique, du Moyen-Orient et d</w:t>
      </w:r>
      <w:r>
        <w:rPr>
          <w:rStyle w:val="NormalWeb"/>
          <w:rFonts w:ascii="Century Gothic" w:hAnsi="Century Gothic" w:cs="Century Gothic"/>
          <w:i/>
          <w:color w:val="000000"/>
          <w:sz w:val="20"/>
          <w:cs/>
        </w:rPr>
        <w:t>’</w:t>
      </w:r>
      <w:r>
        <w:rPr>
          <w:rStyle w:val="NormalWeb"/>
          <w:rFonts w:ascii="Century Gothic" w:hAnsi="Century Gothic"/>
          <w:i/>
          <w:color w:val="000000"/>
          <w:sz w:val="20"/>
        </w:rPr>
        <w:t>Amérique latine et les Caraïbes avant la fin de l</w:t>
      </w:r>
      <w:r>
        <w:rPr>
          <w:rStyle w:val="NormalWeb"/>
          <w:rFonts w:ascii="Century Gothic" w:hAnsi="Century Gothic" w:cs="Century Gothic"/>
          <w:i/>
          <w:color w:val="000000"/>
          <w:sz w:val="20"/>
          <w:cs/>
        </w:rPr>
        <w:t>’</w:t>
      </w:r>
      <w:r>
        <w:rPr>
          <w:rStyle w:val="NormalWeb"/>
          <w:rFonts w:ascii="Century Gothic" w:hAnsi="Century Gothic"/>
          <w:i/>
          <w:color w:val="000000"/>
          <w:sz w:val="20"/>
        </w:rPr>
        <w:t>année 2017. Le groupe de travail continuera à participer aux activités ci-dessous :</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 xml:space="preserve"> </w:t>
      </w:r>
    </w:p>
    <w:p w:rsidR="00847A21" w:rsidRPr="00A326CA" w:rsidRDefault="00847A21" w:rsidP="00847A21">
      <w:pPr>
        <w:pStyle w:val="NormalWeb"/>
        <w:numPr>
          <w:ilvl w:val="0"/>
          <w:numId w:val="12"/>
        </w:numPr>
        <w:spacing w:before="0" w:beforeAutospacing="0" w:after="0" w:afterAutospacing="0"/>
        <w:textAlignment w:val="baseline"/>
        <w:rPr>
          <w:rFonts w:ascii="Century Gothic" w:hAnsi="Century Gothic" w:cs="Calibri"/>
          <w:b/>
          <w:bCs/>
          <w:color w:val="000000"/>
          <w:sz w:val="20"/>
          <w:szCs w:val="20"/>
        </w:rPr>
      </w:pPr>
      <w:r>
        <w:rPr>
          <w:rStyle w:val="NormalWeb"/>
          <w:rFonts w:ascii="Century Gothic" w:hAnsi="Century Gothic"/>
          <w:b/>
          <w:color w:val="000000"/>
          <w:sz w:val="20"/>
        </w:rPr>
        <w:t xml:space="preserve">Communiqué du GAC : </w:t>
      </w:r>
      <w:hyperlink r:id="rId12" w:history="1">
        <w:r>
          <w:rPr>
            <w:rStyle w:val="Hyperlink"/>
            <w:rFonts w:ascii="Century Gothic" w:hAnsi="Century Gothic"/>
            <w:b/>
            <w:color w:val="1155CC"/>
            <w:sz w:val="20"/>
          </w:rPr>
          <w:t xml:space="preserve">Johannesbourg, Afrique du Sud - </w:t>
        </w:r>
        <w:r w:rsidR="00A80417">
          <w:rPr>
            <w:rStyle w:val="Hyperlink"/>
            <w:rFonts w:ascii="Century Gothic" w:hAnsi="Century Gothic"/>
            <w:b/>
            <w:color w:val="1155CC"/>
            <w:sz w:val="20"/>
          </w:rPr>
          <w:t>j</w:t>
        </w:r>
        <w:r>
          <w:rPr>
            <w:rStyle w:val="Hyperlink"/>
            <w:rFonts w:ascii="Century Gothic" w:hAnsi="Century Gothic"/>
            <w:b/>
            <w:color w:val="1155CC"/>
            <w:sz w:val="20"/>
          </w:rPr>
          <w:t xml:space="preserve">uin 2017 (ICANN 59) </w:t>
        </w:r>
      </w:hyperlink>
    </w:p>
    <w:p w:rsidR="00847A21" w:rsidRPr="00A326CA" w:rsidRDefault="00847A21" w:rsidP="00847A21">
      <w:pPr>
        <w:rPr>
          <w:rFonts w:ascii="Century Gothic" w:hAnsi="Century Gothic"/>
          <w:sz w:val="20"/>
          <w:szCs w:val="20"/>
        </w:rPr>
      </w:pP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s="Century Gothic"/>
          <w:i/>
          <w:color w:val="000000"/>
          <w:sz w:val="20"/>
          <w:cs/>
        </w:rPr>
        <w:t xml:space="preserve">• </w:t>
      </w:r>
      <w:r>
        <w:rPr>
          <w:rStyle w:val="NormalWeb"/>
          <w:rFonts w:ascii="Century Gothic" w:hAnsi="Century Gothic"/>
          <w:i/>
          <w:color w:val="000000"/>
          <w:sz w:val="20"/>
        </w:rPr>
        <w:t>Le groupe de travail du GAC sur les régions faiblement desservies : continue de collaborer avec le département en charge de la relation avec les gouvernements (GE) de l</w:t>
      </w:r>
      <w:r>
        <w:rPr>
          <w:rStyle w:val="NormalWeb"/>
          <w:rFonts w:ascii="Century Gothic" w:hAnsi="Century Gothic" w:cs="Century Gothic"/>
          <w:i/>
          <w:color w:val="000000"/>
          <w:sz w:val="20"/>
          <w:cs/>
        </w:rPr>
        <w:t>’</w:t>
      </w:r>
      <w:r>
        <w:rPr>
          <w:rStyle w:val="NormalWeb"/>
          <w:rFonts w:ascii="Century Gothic" w:hAnsi="Century Gothic"/>
          <w:i/>
          <w:color w:val="000000"/>
          <w:sz w:val="20"/>
        </w:rPr>
        <w:t>ICANN ainsi qu</w:t>
      </w:r>
      <w:r>
        <w:rPr>
          <w:rStyle w:val="NormalWeb"/>
          <w:rFonts w:ascii="Century Gothic" w:hAnsi="Century Gothic" w:cs="Century Gothic"/>
          <w:i/>
          <w:color w:val="000000"/>
          <w:sz w:val="20"/>
          <w:cs/>
        </w:rPr>
        <w:t>’</w:t>
      </w:r>
      <w:r>
        <w:rPr>
          <w:rStyle w:val="NormalWeb"/>
          <w:rFonts w:ascii="Century Gothic" w:hAnsi="Century Gothic"/>
          <w:i/>
          <w:color w:val="000000"/>
          <w:sz w:val="20"/>
        </w:rPr>
        <w:t>avec d</w:t>
      </w:r>
      <w:r>
        <w:rPr>
          <w:rStyle w:val="NormalWeb"/>
          <w:rFonts w:ascii="Century Gothic" w:hAnsi="Century Gothic" w:cs="Century Gothic"/>
          <w:i/>
          <w:color w:val="000000"/>
          <w:sz w:val="20"/>
          <w:cs/>
        </w:rPr>
        <w:t>’</w:t>
      </w:r>
      <w:r>
        <w:rPr>
          <w:rStyle w:val="NormalWeb"/>
          <w:rFonts w:ascii="Century Gothic" w:hAnsi="Century Gothic"/>
          <w:i/>
          <w:color w:val="000000"/>
          <w:sz w:val="20"/>
        </w:rPr>
        <w:t>autres départements pour organiser les séances de renforcement des capacités ; les événements les plus récents comprennent :</w:t>
      </w:r>
      <w:r w:rsidR="00A80417">
        <w:rPr>
          <w:rStyle w:val="NormalWeb"/>
          <w:rFonts w:ascii="Century Gothic" w:hAnsi="Century Gothic"/>
          <w:i/>
          <w:color w:val="000000"/>
          <w:sz w:val="20"/>
        </w:rPr>
        <w:t xml:space="preserve">                  </w:t>
      </w:r>
      <w:r>
        <w:rPr>
          <w:rStyle w:val="NormalWeb"/>
          <w:rFonts w:ascii="Century Gothic" w:hAnsi="Century Gothic"/>
          <w:i/>
          <w:color w:val="000000"/>
          <w:sz w:val="20"/>
        </w:rPr>
        <w:t xml:space="preserve"> </w:t>
      </w:r>
      <w:r>
        <w:rPr>
          <w:rStyle w:val="NormalWeb"/>
          <w:rFonts w:ascii="Century Gothic" w:hAnsi="Century Gothic" w:cs="Century Gothic"/>
          <w:i/>
          <w:color w:val="000000"/>
          <w:sz w:val="20"/>
          <w:cs/>
        </w:rPr>
        <w:t xml:space="preserve">• </w:t>
      </w:r>
      <w:r>
        <w:rPr>
          <w:rStyle w:val="NormalWeb"/>
          <w:rFonts w:ascii="Century Gothic" w:hAnsi="Century Gothic"/>
          <w:i/>
          <w:color w:val="000000"/>
          <w:sz w:val="20"/>
        </w:rPr>
        <w:t>Le deuxième atelier régional aux îles Fidji les 28 et 29 avril 2017 ciblant les pays des îles du Pacifique.</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s="Century Gothic"/>
          <w:i/>
          <w:color w:val="000000"/>
          <w:sz w:val="20"/>
          <w:cs/>
        </w:rPr>
        <w:t xml:space="preserve">• </w:t>
      </w:r>
      <w:r>
        <w:rPr>
          <w:rStyle w:val="NormalWeb"/>
          <w:rFonts w:ascii="Century Gothic" w:hAnsi="Century Gothic"/>
          <w:i/>
          <w:color w:val="000000"/>
          <w:sz w:val="20"/>
        </w:rPr>
        <w:t>Les ateliers de renforcement des capacités de l</w:t>
      </w:r>
      <w:r>
        <w:rPr>
          <w:rStyle w:val="NormalWeb"/>
          <w:rFonts w:ascii="Century Gothic" w:hAnsi="Century Gothic" w:cs="Century Gothic"/>
          <w:i/>
          <w:color w:val="000000"/>
          <w:sz w:val="20"/>
          <w:cs/>
        </w:rPr>
        <w:t>’</w:t>
      </w:r>
      <w:r>
        <w:rPr>
          <w:rStyle w:val="NormalWeb"/>
          <w:rFonts w:ascii="Century Gothic" w:hAnsi="Century Gothic"/>
          <w:i/>
          <w:color w:val="000000"/>
          <w:sz w:val="20"/>
        </w:rPr>
        <w:t>USRWG et du PSWG pour les membres africains du GAC, et en particulier pour leurs organismes chargés de l</w:t>
      </w:r>
      <w:r>
        <w:rPr>
          <w:rStyle w:val="NormalWeb"/>
          <w:rFonts w:ascii="Century Gothic" w:hAnsi="Century Gothic" w:cs="Century Gothic"/>
          <w:i/>
          <w:color w:val="000000"/>
          <w:sz w:val="20"/>
          <w:cs/>
        </w:rPr>
        <w:t>’</w:t>
      </w:r>
      <w:r>
        <w:rPr>
          <w:rStyle w:val="NormalWeb"/>
          <w:rFonts w:ascii="Century Gothic" w:hAnsi="Century Gothic"/>
          <w:i/>
          <w:color w:val="000000"/>
          <w:sz w:val="20"/>
        </w:rPr>
        <w:t>application de la loi et de la protection des consommateurs les 23 et 24 juin 2017 à Johannesbourg, en Afrique du sud.</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cs="Century Gothic"/>
          <w:i/>
          <w:color w:val="000000"/>
          <w:sz w:val="20"/>
          <w:cs/>
        </w:rPr>
        <w:t xml:space="preserve">• </w:t>
      </w:r>
      <w:r>
        <w:rPr>
          <w:rStyle w:val="NormalWeb"/>
          <w:rFonts w:ascii="Century Gothic" w:hAnsi="Century Gothic"/>
          <w:i/>
          <w:color w:val="000000"/>
          <w:sz w:val="20"/>
        </w:rPr>
        <w:t>Une table ronde sur les initiatives de renforcement des capacités du GAC organisées par l</w:t>
      </w:r>
      <w:r>
        <w:rPr>
          <w:rStyle w:val="NormalWeb"/>
          <w:rFonts w:ascii="Century Gothic" w:hAnsi="Century Gothic" w:cs="Century Gothic"/>
          <w:i/>
          <w:color w:val="000000"/>
          <w:sz w:val="20"/>
          <w:cs/>
        </w:rPr>
        <w:t>’</w:t>
      </w:r>
      <w:r>
        <w:rPr>
          <w:rStyle w:val="NormalWeb"/>
          <w:rFonts w:ascii="Century Gothic" w:hAnsi="Century Gothic"/>
          <w:i/>
          <w:color w:val="000000"/>
          <w:sz w:val="20"/>
        </w:rPr>
        <w:t>ICANN dans le cadre du forum SMSI de Genève en juin 2017.</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Le groupe de travail travaille avec le département de GE et les équipes en charge du développement et de la responsabilité publique (DPRD) pour établir un cadre d</w:t>
      </w:r>
      <w:r>
        <w:rPr>
          <w:rStyle w:val="NormalWeb"/>
          <w:rFonts w:ascii="Century Gothic" w:hAnsi="Century Gothic" w:cs="Century Gothic"/>
          <w:i/>
          <w:color w:val="000000"/>
          <w:sz w:val="20"/>
          <w:cs/>
        </w:rPr>
        <w:t>’</w:t>
      </w:r>
      <w:r>
        <w:rPr>
          <w:rStyle w:val="NormalWeb"/>
          <w:rFonts w:ascii="Century Gothic" w:hAnsi="Century Gothic"/>
          <w:i/>
          <w:color w:val="000000"/>
          <w:sz w:val="20"/>
        </w:rPr>
        <w:t>évaluation et ainsi évaluer en continu les activités de renforcement des capacités du GAC.</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 xml:space="preserve"> </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Le GAC espère le soutien continu de l</w:t>
      </w:r>
      <w:r>
        <w:rPr>
          <w:rStyle w:val="NormalWeb"/>
          <w:rFonts w:ascii="Century Gothic" w:hAnsi="Century Gothic" w:cs="Century Gothic"/>
          <w:i/>
          <w:color w:val="000000"/>
          <w:sz w:val="20"/>
          <w:cs/>
        </w:rPr>
        <w:t>’</w:t>
      </w:r>
      <w:r>
        <w:rPr>
          <w:rStyle w:val="NormalWeb"/>
          <w:rFonts w:ascii="Century Gothic" w:hAnsi="Century Gothic"/>
          <w:i/>
          <w:color w:val="000000"/>
          <w:sz w:val="20"/>
        </w:rPr>
        <w:t>organisation ICANN envers les activités du groupe de travail afin de soutenir la participation des régions faiblement desservies au GAC et aux processus politiques de l</w:t>
      </w:r>
      <w:r>
        <w:rPr>
          <w:rStyle w:val="NormalWeb"/>
          <w:rFonts w:ascii="Century Gothic" w:hAnsi="Century Gothic" w:cs="Century Gothic"/>
          <w:i/>
          <w:color w:val="000000"/>
          <w:sz w:val="20"/>
          <w:cs/>
        </w:rPr>
        <w:t>’</w:t>
      </w:r>
      <w:r>
        <w:rPr>
          <w:rStyle w:val="NormalWeb"/>
          <w:rFonts w:ascii="Century Gothic" w:hAnsi="Century Gothic"/>
          <w:i/>
          <w:color w:val="000000"/>
          <w:sz w:val="20"/>
        </w:rPr>
        <w:t>ICANN. Le groupe de travail a élaboré un calendrier indicatif pour les futures initiatives de renforcement des capacités pour les 2 prochaines années. Le groupe de travail continuera à collaborer avec la ccNSO et avec la PTI (Identificateurs techniques publics) pour compléter le document des questions fréquentes (FAQ) concernant la délégation et la re-délégation de ccTLD.</w:t>
      </w:r>
    </w:p>
    <w:p w:rsidR="00847A21" w:rsidRPr="00A326CA" w:rsidRDefault="00847A21" w:rsidP="00847A21">
      <w:pPr>
        <w:pStyle w:val="NormalWeb"/>
        <w:spacing w:before="0" w:beforeAutospacing="0" w:after="0" w:afterAutospacing="0"/>
        <w:rPr>
          <w:rFonts w:ascii="Century Gothic" w:hAnsi="Century Gothic"/>
          <w:sz w:val="20"/>
          <w:szCs w:val="20"/>
        </w:rPr>
      </w:pPr>
      <w:r>
        <w:rPr>
          <w:rStyle w:val="NormalWeb"/>
          <w:rFonts w:ascii="Century Gothic" w:hAnsi="Century Gothic"/>
          <w:i/>
          <w:color w:val="000000"/>
          <w:sz w:val="20"/>
        </w:rPr>
        <w:t xml:space="preserve"> </w:t>
      </w:r>
    </w:p>
    <w:p w:rsidR="00847A21" w:rsidRPr="00A326CA" w:rsidRDefault="00847A21" w:rsidP="00847A21">
      <w:pPr>
        <w:rPr>
          <w:sz w:val="20"/>
          <w:szCs w:val="20"/>
        </w:rPr>
      </w:pPr>
    </w:p>
    <w:p w:rsidR="00847A21" w:rsidRPr="00A326CA" w:rsidRDefault="00847A21" w:rsidP="00847A21">
      <w:pPr>
        <w:pStyle w:val="BodyText"/>
        <w:ind w:right="545"/>
        <w:rPr>
          <w:sz w:val="20"/>
          <w:szCs w:val="20"/>
        </w:rPr>
      </w:pPr>
    </w:p>
    <w:p w:rsidR="00847A21" w:rsidRPr="00A326CA" w:rsidRDefault="00847A21" w:rsidP="00847A21">
      <w:pPr>
        <w:pStyle w:val="BodyText"/>
        <w:ind w:right="545"/>
        <w:rPr>
          <w:sz w:val="20"/>
          <w:szCs w:val="20"/>
        </w:rPr>
      </w:pPr>
    </w:p>
    <w:p w:rsidR="00847A21" w:rsidRPr="00A326CA" w:rsidRDefault="00847A21" w:rsidP="00847A21">
      <w:pPr>
        <w:pStyle w:val="BodyText"/>
        <w:ind w:right="545"/>
        <w:rPr>
          <w:sz w:val="20"/>
          <w:szCs w:val="20"/>
        </w:rPr>
      </w:pPr>
    </w:p>
    <w:p w:rsidR="00847A21" w:rsidRDefault="00847A21" w:rsidP="00847A21">
      <w:pPr>
        <w:pStyle w:val="BodyText"/>
        <w:ind w:right="545"/>
      </w:pPr>
    </w:p>
    <w:p w:rsidR="00847A21" w:rsidRDefault="00847A21" w:rsidP="00847A21">
      <w:pPr>
        <w:pStyle w:val="BodyText"/>
        <w:ind w:right="545"/>
      </w:pPr>
    </w:p>
    <w:p w:rsidR="00847A21" w:rsidRDefault="00847A21" w:rsidP="00847A21">
      <w:pPr>
        <w:pStyle w:val="BodyText"/>
        <w:ind w:right="545"/>
      </w:pPr>
    </w:p>
    <w:p w:rsidR="00847A21" w:rsidRDefault="00847A21" w:rsidP="00847A21">
      <w:pPr>
        <w:pStyle w:val="BodyText"/>
        <w:ind w:right="545"/>
      </w:pPr>
    </w:p>
    <w:p w:rsidR="00847A21" w:rsidRDefault="00847A21" w:rsidP="00847A21">
      <w:pPr>
        <w:pStyle w:val="BodyText"/>
        <w:ind w:right="545"/>
      </w:pPr>
    </w:p>
    <w:p w:rsidR="00847A21" w:rsidRPr="00E06DE4" w:rsidRDefault="00847A21" w:rsidP="00847A21">
      <w:pPr>
        <w:pStyle w:val="BodyText"/>
        <w:ind w:right="545"/>
      </w:pPr>
    </w:p>
    <w:p w:rsidR="00847A21" w:rsidRDefault="00847A21" w:rsidP="00847A21">
      <w:pPr>
        <w:pStyle w:val="Heading2"/>
      </w:pPr>
      <w:bookmarkStart w:id="1" w:name="_Hlk484433727"/>
      <w:r>
        <w:rPr>
          <w:rStyle w:val="Heading2"/>
        </w:rPr>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847A21" w:rsidRPr="003F43E3" w:rsidTr="00847A21">
        <w:tc>
          <w:tcPr>
            <w:tcW w:w="3083" w:type="dxa"/>
            <w:vAlign w:val="center"/>
          </w:tcPr>
          <w:p w:rsidR="00847A21" w:rsidRPr="00302FF3" w:rsidRDefault="00847A21" w:rsidP="00847A21">
            <w:pPr>
              <w:ind w:right="-132"/>
              <w:rPr>
                <w:rFonts w:ascii="Century Gothic" w:hAnsi="Century Gothic"/>
                <w:b/>
                <w:sz w:val="20"/>
                <w:szCs w:val="20"/>
              </w:rPr>
            </w:pPr>
            <w:r>
              <w:rPr>
                <w:rStyle w:val="Normal"/>
                <w:rFonts w:ascii="Century Gothic" w:hAnsi="Century Gothic"/>
                <w:b/>
                <w:sz w:val="20"/>
              </w:rPr>
              <w:t>Titre</w:t>
            </w:r>
          </w:p>
        </w:tc>
        <w:tc>
          <w:tcPr>
            <w:tcW w:w="5439" w:type="dxa"/>
            <w:vAlign w:val="center"/>
          </w:tcPr>
          <w:p w:rsidR="00847A21" w:rsidRPr="00302FF3" w:rsidRDefault="00847A21" w:rsidP="00847A21">
            <w:pPr>
              <w:ind w:right="545"/>
              <w:rPr>
                <w:rFonts w:ascii="Century Gothic" w:hAnsi="Century Gothic"/>
                <w:sz w:val="20"/>
                <w:szCs w:val="20"/>
              </w:rPr>
            </w:pPr>
            <w:r>
              <w:rPr>
                <w:rStyle w:val="Normal"/>
                <w:rFonts w:ascii="Century Gothic" w:hAnsi="Century Gothic"/>
                <w:sz w:val="20"/>
              </w:rPr>
              <w:t>Rapport préliminaire de l</w:t>
            </w:r>
            <w:r>
              <w:rPr>
                <w:rStyle w:val="Normal"/>
                <w:rFonts w:ascii="Century Gothic" w:hAnsi="Century Gothic" w:cs="Century Gothic"/>
                <w:sz w:val="20"/>
                <w:cs/>
              </w:rPr>
              <w:t>’</w:t>
            </w:r>
            <w:r>
              <w:rPr>
                <w:rStyle w:val="Normal"/>
                <w:rFonts w:ascii="Century Gothic" w:hAnsi="Century Gothic"/>
                <w:sz w:val="20"/>
              </w:rPr>
              <w:t>atelier de renforcement des capacités du GAC</w:t>
            </w:r>
          </w:p>
        </w:tc>
      </w:tr>
      <w:tr w:rsidR="00847A21" w:rsidRPr="003F43E3" w:rsidTr="00847A21">
        <w:tc>
          <w:tcPr>
            <w:tcW w:w="3083" w:type="dxa"/>
            <w:vAlign w:val="center"/>
          </w:tcPr>
          <w:p w:rsidR="00847A21" w:rsidRPr="00302FF3" w:rsidRDefault="00847A21" w:rsidP="00847A21">
            <w:pPr>
              <w:ind w:right="-132"/>
              <w:rPr>
                <w:rFonts w:ascii="Century Gothic" w:hAnsi="Century Gothic"/>
                <w:b/>
                <w:sz w:val="20"/>
                <w:szCs w:val="20"/>
              </w:rPr>
            </w:pPr>
            <w:r>
              <w:rPr>
                <w:rStyle w:val="Normal"/>
                <w:rFonts w:ascii="Century Gothic" w:hAnsi="Century Gothic"/>
                <w:b/>
                <w:sz w:val="20"/>
              </w:rPr>
              <w:t>Distribution</w:t>
            </w:r>
          </w:p>
        </w:tc>
        <w:tc>
          <w:tcPr>
            <w:tcW w:w="5439" w:type="dxa"/>
            <w:vAlign w:val="center"/>
          </w:tcPr>
          <w:p w:rsidR="00847A21" w:rsidRPr="00302FF3" w:rsidRDefault="00847A21" w:rsidP="00847A21">
            <w:pPr>
              <w:ind w:right="545"/>
              <w:rPr>
                <w:rFonts w:ascii="Century Gothic" w:hAnsi="Century Gothic"/>
                <w:sz w:val="20"/>
                <w:szCs w:val="20"/>
              </w:rPr>
            </w:pPr>
            <w:r>
              <w:rPr>
                <w:rStyle w:val="Normal"/>
                <w:rFonts w:ascii="Century Gothic" w:hAnsi="Century Gothic"/>
                <w:sz w:val="20"/>
              </w:rPr>
              <w:t>Membres du GAC</w:t>
            </w:r>
          </w:p>
        </w:tc>
      </w:tr>
      <w:tr w:rsidR="00847A21" w:rsidRPr="003F43E3" w:rsidTr="00847A21">
        <w:tc>
          <w:tcPr>
            <w:tcW w:w="3083" w:type="dxa"/>
            <w:vAlign w:val="center"/>
          </w:tcPr>
          <w:p w:rsidR="00847A21" w:rsidRPr="00302FF3" w:rsidRDefault="00847A21" w:rsidP="00847A21">
            <w:pPr>
              <w:ind w:right="-132"/>
              <w:rPr>
                <w:rFonts w:ascii="Century Gothic" w:hAnsi="Century Gothic"/>
                <w:b/>
                <w:sz w:val="20"/>
                <w:szCs w:val="20"/>
              </w:rPr>
            </w:pPr>
            <w:r>
              <w:rPr>
                <w:rStyle w:val="Normal"/>
                <w:rFonts w:ascii="Century Gothic" w:hAnsi="Century Gothic"/>
                <w:b/>
                <w:sz w:val="20"/>
              </w:rPr>
              <w:t>Date de distribution</w:t>
            </w:r>
          </w:p>
        </w:tc>
        <w:tc>
          <w:tcPr>
            <w:tcW w:w="5439" w:type="dxa"/>
            <w:vAlign w:val="center"/>
          </w:tcPr>
          <w:p w:rsidR="00847A21" w:rsidRPr="00302FF3" w:rsidRDefault="00847A21" w:rsidP="00847A21">
            <w:pPr>
              <w:ind w:right="545"/>
              <w:rPr>
                <w:rFonts w:ascii="Century Gothic" w:hAnsi="Century Gothic"/>
                <w:sz w:val="20"/>
                <w:szCs w:val="20"/>
              </w:rPr>
            </w:pPr>
            <w:r>
              <w:rPr>
                <w:rStyle w:val="Normal"/>
                <w:rFonts w:ascii="Century Gothic" w:hAnsi="Century Gothic"/>
                <w:sz w:val="20"/>
              </w:rPr>
              <w:t>6 juin 2018</w:t>
            </w:r>
          </w:p>
        </w:tc>
      </w:tr>
      <w:bookmarkEnd w:id="1"/>
    </w:tbl>
    <w:p w:rsidR="00847A21" w:rsidRDefault="00847A21"/>
    <w:sectPr w:rsidR="00847A21" w:rsidSect="00847A21">
      <w:headerReference w:type="default" r:id="rId13"/>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78" w:rsidRDefault="00554678">
      <w:r>
        <w:separator/>
      </w:r>
    </w:p>
  </w:endnote>
  <w:endnote w:type="continuationSeparator" w:id="0">
    <w:p w:rsidR="00554678" w:rsidRDefault="0055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21" w:rsidRDefault="00847A21" w:rsidP="00847A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A21" w:rsidRDefault="00847A21" w:rsidP="00847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21" w:rsidRDefault="00847A21" w:rsidP="00847A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47A21" w:rsidRDefault="00847A21" w:rsidP="00847A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78" w:rsidRDefault="00554678">
      <w:r>
        <w:separator/>
      </w:r>
    </w:p>
  </w:footnote>
  <w:footnote w:type="continuationSeparator" w:id="0">
    <w:p w:rsidR="00554678" w:rsidRDefault="00554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21" w:rsidRDefault="00442A5E">
    <w:pPr>
      <w:pStyle w:val="Header"/>
    </w:pPr>
    <w:r>
      <w:rPr>
        <w:noProof/>
      </w:rPr>
      <w:drawing>
        <wp:anchor distT="0" distB="0" distL="114300" distR="114300" simplePos="0" relativeHeight="251657728" behindDoc="1" locked="0" layoutInCell="1" allowOverlap="1">
          <wp:simplePos x="0" y="0"/>
          <wp:positionH relativeFrom="column">
            <wp:posOffset>1670685</wp:posOffset>
          </wp:positionH>
          <wp:positionV relativeFrom="paragraph">
            <wp:posOffset>-512445</wp:posOffset>
          </wp:positionV>
          <wp:extent cx="2124075" cy="1363980"/>
          <wp:effectExtent l="0" t="0" r="0" b="0"/>
          <wp:wrapNone/>
          <wp:docPr id="1"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8DB"/>
    <w:multiLevelType w:val="multilevel"/>
    <w:tmpl w:val="B83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706C4"/>
    <w:multiLevelType w:val="hybridMultilevel"/>
    <w:tmpl w:val="7AC2C484"/>
    <w:lvl w:ilvl="0">
      <w:start w:val="20"/>
      <w:numFmt w:val="bullet"/>
      <w:lvlText w:val="-"/>
      <w:lvlJc w:val="left"/>
      <w:pPr>
        <w:ind w:left="1080" w:hanging="36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39971FEE"/>
    <w:multiLevelType w:val="multilevel"/>
    <w:tmpl w:val="2A402028"/>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09B42B1"/>
    <w:multiLevelType w:val="multilevel"/>
    <w:tmpl w:val="657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4423E"/>
    <w:multiLevelType w:val="multilevel"/>
    <w:tmpl w:val="0CD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657EB"/>
    <w:multiLevelType w:val="multilevel"/>
    <w:tmpl w:val="59A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8714E"/>
    <w:multiLevelType w:val="multilevel"/>
    <w:tmpl w:val="F694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764EA"/>
    <w:multiLevelType w:val="multilevel"/>
    <w:tmpl w:val="E814D83A"/>
    <w:lvl w:ilvl="0">
      <w:start w:val="20"/>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143BB"/>
    <w:multiLevelType w:val="multilevel"/>
    <w:tmpl w:val="1F6E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51003"/>
    <w:multiLevelType w:val="multilevel"/>
    <w:tmpl w:val="E814D83A"/>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53C7348"/>
    <w:multiLevelType w:val="hybridMultilevel"/>
    <w:tmpl w:val="A79456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73E3131C"/>
    <w:multiLevelType w:val="multilevel"/>
    <w:tmpl w:val="A260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8"/>
  </w:num>
  <w:num w:numId="5">
    <w:abstractNumId w:val="0"/>
  </w:num>
  <w:num w:numId="6">
    <w:abstractNumId w:val="2"/>
  </w:num>
  <w:num w:numId="7">
    <w:abstractNumId w:val="7"/>
  </w:num>
  <w:num w:numId="8">
    <w:abstractNumId w:val="5"/>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5A"/>
    <w:rsid w:val="00442A5E"/>
    <w:rsid w:val="00554678"/>
    <w:rsid w:val="00847A21"/>
    <w:rsid w:val="00A8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12FDB"/>
  <w15:chartTrackingRefBased/>
  <w15:docId w15:val="{FBC1644B-4D14-45BD-9057-33DE570C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25A"/>
    <w:rPr>
      <w:rFonts w:ascii="Times New Roman" w:eastAsia="Times New Roman" w:hAnsi="Times New Roman"/>
      <w:sz w:val="24"/>
      <w:szCs w:val="24"/>
      <w:lang w:val="fr-FR" w:eastAsia="fr-FR"/>
    </w:rPr>
  </w:style>
  <w:style w:type="paragraph" w:styleId="Heading1">
    <w:name w:val="heading 1"/>
    <w:next w:val="BodyText"/>
    <w:link w:val="Heading1Char"/>
    <w:uiPriority w:val="9"/>
    <w:qFormat/>
    <w:rsid w:val="0068625A"/>
    <w:pPr>
      <w:keepNext/>
      <w:keepLines/>
      <w:pageBreakBefore/>
      <w:pBdr>
        <w:top w:val="single" w:sz="4" w:space="1" w:color="00408E"/>
        <w:bottom w:val="single" w:sz="4" w:space="1" w:color="00408E"/>
      </w:pBdr>
      <w:spacing w:after="200" w:line="276" w:lineRule="auto"/>
      <w:outlineLvl w:val="0"/>
    </w:pPr>
    <w:rPr>
      <w:rFonts w:ascii="Century Gothic" w:hAnsi="Century Gothic"/>
      <w:b/>
      <w:color w:val="00408E"/>
      <w:sz w:val="28"/>
      <w:szCs w:val="28"/>
      <w:lang w:val="fr-FR" w:eastAsia="fr-FR"/>
    </w:rPr>
  </w:style>
  <w:style w:type="paragraph" w:styleId="Heading2">
    <w:name w:val="heading 2"/>
    <w:basedOn w:val="BodyText"/>
    <w:next w:val="BodyText"/>
    <w:link w:val="Heading2Char"/>
    <w:autoRedefine/>
    <w:uiPriority w:val="9"/>
    <w:unhideWhenUsed/>
    <w:qFormat/>
    <w:rsid w:val="0068625A"/>
    <w:pPr>
      <w:keepNext/>
      <w:keepLines/>
      <w:spacing w:after="0" w:line="276" w:lineRule="auto"/>
      <w:ind w:right="547"/>
      <w:outlineLvl w:val="1"/>
    </w:pPr>
    <w:rPr>
      <w:rFonts w:ascii="Century Gothic" w:eastAsia="Calibri" w:hAnsi="Century Gothic"/>
      <w:b/>
      <w:color w:val="2F5496"/>
    </w:rPr>
  </w:style>
  <w:style w:type="paragraph" w:styleId="Heading4">
    <w:name w:val="heading 4"/>
    <w:basedOn w:val="Normal"/>
    <w:next w:val="Normal"/>
    <w:link w:val="Heading4Char"/>
    <w:uiPriority w:val="9"/>
    <w:semiHidden/>
    <w:unhideWhenUsed/>
    <w:qFormat/>
    <w:rsid w:val="0068625A"/>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625A"/>
    <w:rPr>
      <w:rFonts w:ascii="Century Gothic" w:eastAsia="Calibri" w:hAnsi="Century Gothic" w:cs="Times New Roman"/>
      <w:b/>
      <w:color w:val="00408E"/>
      <w:sz w:val="28"/>
      <w:szCs w:val="28"/>
      <w:lang w:val="fr-FR" w:eastAsia="fr-FR"/>
    </w:rPr>
  </w:style>
  <w:style w:type="character" w:customStyle="1" w:styleId="Heading2Char">
    <w:name w:val="Heading 2 Char"/>
    <w:link w:val="Heading2"/>
    <w:uiPriority w:val="9"/>
    <w:rsid w:val="0068625A"/>
    <w:rPr>
      <w:rFonts w:ascii="Century Gothic" w:eastAsia="Calibri" w:hAnsi="Century Gothic" w:cs="Times New Roman"/>
      <w:b/>
      <w:color w:val="2F5496"/>
      <w:lang w:val="fr-FR" w:eastAsia="fr-FR"/>
    </w:rPr>
  </w:style>
  <w:style w:type="paragraph" w:styleId="Header">
    <w:name w:val="header"/>
    <w:basedOn w:val="Normal"/>
    <w:link w:val="HeaderChar"/>
    <w:uiPriority w:val="99"/>
    <w:unhideWhenUsed/>
    <w:rsid w:val="0068625A"/>
    <w:pPr>
      <w:tabs>
        <w:tab w:val="center" w:pos="4320"/>
        <w:tab w:val="right" w:pos="8640"/>
      </w:tabs>
    </w:pPr>
    <w:rPr>
      <w:rFonts w:ascii="Calibri" w:hAnsi="Calibri"/>
    </w:rPr>
  </w:style>
  <w:style w:type="character" w:customStyle="1" w:styleId="HeaderChar">
    <w:name w:val="Header Char"/>
    <w:link w:val="Header"/>
    <w:uiPriority w:val="99"/>
    <w:rsid w:val="0068625A"/>
    <w:rPr>
      <w:rFonts w:eastAsia="Times New Roman"/>
      <w:lang w:val="fr-FR" w:eastAsia="fr-FR"/>
    </w:rPr>
  </w:style>
  <w:style w:type="paragraph" w:styleId="Footer">
    <w:name w:val="footer"/>
    <w:basedOn w:val="Normal"/>
    <w:link w:val="FooterChar"/>
    <w:uiPriority w:val="99"/>
    <w:unhideWhenUsed/>
    <w:rsid w:val="0068625A"/>
    <w:pPr>
      <w:tabs>
        <w:tab w:val="center" w:pos="4536"/>
        <w:tab w:val="right" w:pos="9072"/>
      </w:tabs>
    </w:pPr>
    <w:rPr>
      <w:rFonts w:ascii="Calibri" w:hAnsi="Calibri"/>
    </w:rPr>
  </w:style>
  <w:style w:type="character" w:customStyle="1" w:styleId="FooterChar">
    <w:name w:val="Footer Char"/>
    <w:link w:val="Footer"/>
    <w:uiPriority w:val="99"/>
    <w:rsid w:val="0068625A"/>
    <w:rPr>
      <w:rFonts w:eastAsia="Times New Roman"/>
      <w:lang w:val="fr-FR" w:eastAsia="fr-FR"/>
    </w:rPr>
  </w:style>
  <w:style w:type="character" w:styleId="PageNumber">
    <w:name w:val="page number"/>
    <w:basedOn w:val="DefaultParagraphFont"/>
    <w:uiPriority w:val="99"/>
    <w:semiHidden/>
    <w:unhideWhenUsed/>
    <w:rsid w:val="0068625A"/>
  </w:style>
  <w:style w:type="paragraph" w:styleId="BodyText">
    <w:name w:val="Body Text"/>
    <w:basedOn w:val="Normal"/>
    <w:link w:val="BodyTextChar"/>
    <w:uiPriority w:val="99"/>
    <w:unhideWhenUsed/>
    <w:rsid w:val="0068625A"/>
    <w:pPr>
      <w:spacing w:after="120"/>
    </w:pPr>
  </w:style>
  <w:style w:type="character" w:customStyle="1" w:styleId="BodyTextChar">
    <w:name w:val="Body Text Char"/>
    <w:link w:val="BodyText"/>
    <w:uiPriority w:val="99"/>
    <w:rsid w:val="0068625A"/>
    <w:rPr>
      <w:rFonts w:ascii="Times New Roman" w:eastAsia="Times New Roman" w:hAnsi="Times New Roman" w:cs="Times New Roman"/>
      <w:lang w:val="fr-FR" w:eastAsia="fr-FR"/>
    </w:rPr>
  </w:style>
  <w:style w:type="paragraph" w:styleId="ListParagraph">
    <w:name w:val="List Paragraph"/>
    <w:basedOn w:val="Normal"/>
    <w:uiPriority w:val="34"/>
    <w:qFormat/>
    <w:rsid w:val="0068625A"/>
    <w:pPr>
      <w:ind w:left="720"/>
      <w:contextualSpacing/>
    </w:pPr>
  </w:style>
  <w:style w:type="character" w:styleId="Hyperlink">
    <w:name w:val="Hyperlink"/>
    <w:uiPriority w:val="99"/>
    <w:unhideWhenUsed/>
    <w:rsid w:val="0068625A"/>
    <w:rPr>
      <w:color w:val="0563C1"/>
      <w:u w:val="single"/>
      <w:lang w:val="fr-FR" w:eastAsia="fr-FR"/>
    </w:rPr>
  </w:style>
  <w:style w:type="paragraph" w:styleId="NormalWeb">
    <w:name w:val="Normal (Web)"/>
    <w:basedOn w:val="Normal"/>
    <w:uiPriority w:val="99"/>
    <w:unhideWhenUsed/>
    <w:rsid w:val="0068625A"/>
    <w:pPr>
      <w:spacing w:before="100" w:beforeAutospacing="1" w:after="100" w:afterAutospacing="1"/>
    </w:pPr>
  </w:style>
  <w:style w:type="character" w:customStyle="1" w:styleId="Heading4Char">
    <w:name w:val="Heading 4 Char"/>
    <w:link w:val="Heading4"/>
    <w:uiPriority w:val="9"/>
    <w:semiHidden/>
    <w:rsid w:val="0068625A"/>
    <w:rPr>
      <w:rFonts w:ascii="Calibri Light" w:eastAsia="Times New Roman" w:hAnsi="Calibri Light" w:cs="Times New Roman"/>
      <w:i/>
      <w:iCs/>
      <w:color w:val="2F549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working-group/gac-working-groups-on-under-served-reg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ac.icann.org/activity/gac-capacity-development-workshops-2017-2018" TargetMode="External"/><Relationship Id="rId12" Type="http://schemas.openxmlformats.org/officeDocument/2006/relationships/hyperlink" Target="https://gac.icann.org/contentMigrated/icann59-gac-communiq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icann58-gac-communiqu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ac.icann.org/contentMigrated/icann57-gac-communique" TargetMode="External"/><Relationship Id="rId4" Type="http://schemas.openxmlformats.org/officeDocument/2006/relationships/webSettings" Target="webSettings.xml"/><Relationship Id="rId9" Type="http://schemas.openxmlformats.org/officeDocument/2006/relationships/hyperlink" Target="https://gac.icann.org/contentMigrated/icann56-gac-communiqu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8342</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9786</CharactersWithSpaces>
  <SharedDoc>false</SharedDoc>
  <HLinks>
    <vt:vector size="36" baseType="variant">
      <vt:variant>
        <vt:i4>5570561</vt:i4>
      </vt:variant>
      <vt:variant>
        <vt:i4>15</vt:i4>
      </vt:variant>
      <vt:variant>
        <vt:i4>0</vt:i4>
      </vt:variant>
      <vt:variant>
        <vt:i4>5</vt:i4>
      </vt:variant>
      <vt:variant>
        <vt:lpwstr>https://gac.icann.org/contentMigrated/icann59-gac-communique</vt:lpwstr>
      </vt:variant>
      <vt:variant>
        <vt:lpwstr/>
      </vt:variant>
      <vt:variant>
        <vt:i4>5570560</vt:i4>
      </vt:variant>
      <vt:variant>
        <vt:i4>12</vt:i4>
      </vt:variant>
      <vt:variant>
        <vt:i4>0</vt:i4>
      </vt:variant>
      <vt:variant>
        <vt:i4>5</vt:i4>
      </vt:variant>
      <vt:variant>
        <vt:lpwstr>https://gac.icann.org/contentMigrated/icann58-gac-communique</vt:lpwstr>
      </vt:variant>
      <vt:variant>
        <vt:lpwstr/>
      </vt:variant>
      <vt:variant>
        <vt:i4>5570575</vt:i4>
      </vt:variant>
      <vt:variant>
        <vt:i4>9</vt:i4>
      </vt:variant>
      <vt:variant>
        <vt:i4>0</vt:i4>
      </vt:variant>
      <vt:variant>
        <vt:i4>5</vt:i4>
      </vt:variant>
      <vt:variant>
        <vt:lpwstr>https://gac.icann.org/contentMigrated/icann57-gac-communique</vt:lpwstr>
      </vt:variant>
      <vt:variant>
        <vt:lpwstr/>
      </vt:variant>
      <vt:variant>
        <vt:i4>5570574</vt:i4>
      </vt:variant>
      <vt:variant>
        <vt:i4>6</vt:i4>
      </vt:variant>
      <vt:variant>
        <vt:i4>0</vt:i4>
      </vt:variant>
      <vt:variant>
        <vt:i4>5</vt:i4>
      </vt:variant>
      <vt:variant>
        <vt:lpwstr>https://gac.icann.org/contentMigrated/icann56-gac-communique</vt:lpwstr>
      </vt:variant>
      <vt:variant>
        <vt:lpwstr/>
      </vt:variant>
      <vt:variant>
        <vt:i4>2752549</vt:i4>
      </vt:variant>
      <vt:variant>
        <vt:i4>3</vt:i4>
      </vt:variant>
      <vt:variant>
        <vt:i4>0</vt:i4>
      </vt:variant>
      <vt:variant>
        <vt:i4>5</vt:i4>
      </vt:variant>
      <vt:variant>
        <vt:lpwstr>https://gac.icann.org/working-group/gac-working-groups-on-under-served-regions</vt:lpwstr>
      </vt:variant>
      <vt:variant>
        <vt:lpwstr/>
      </vt:variant>
      <vt:variant>
        <vt:i4>6488101</vt:i4>
      </vt:variant>
      <vt:variant>
        <vt:i4>0</vt:i4>
      </vt:variant>
      <vt:variant>
        <vt:i4>0</vt:i4>
      </vt:variant>
      <vt:variant>
        <vt:i4>5</vt:i4>
      </vt:variant>
      <vt:variant>
        <vt:lpwstr>https://gac.icann.org/activity/gac-capacity-development-workshops-2017-2018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LS Pros</cp:lastModifiedBy>
  <cp:revision>2</cp:revision>
  <dcterms:created xsi:type="dcterms:W3CDTF">2018-06-19T14:36:00Z</dcterms:created>
  <dcterms:modified xsi:type="dcterms:W3CDTF">2018-06-19T14:36:00Z</dcterms:modified>
</cp:coreProperties>
</file>